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OBJETIVO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presente procedimiento tiene por objetivo establecer las pautas para ejercer el control especificado por el esquema de certificación sobre la propiedad, el uso y la visualización de licencias, certificados y permitir un enfoque uniforme de uso de las marcas da conformidad de tercera parte.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ALCANCE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 documento aplica a AmSpec, con base en la ISO/IEC 17065.</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Tiene aplicación al uso y la visualización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por parte de las organizaciones certificadas por AmSpec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licencias, certificados,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marcas de conformidad de tercera parte emitidas y utilizadas en diferentes formatos y soportes u otros medios electrónicos o cualquier otro mecanismo pa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 indicar que el producto está certificado.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DOCUMENTOS DE REFERENCIA</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ISO/IEC 17065 Evaluación de la Conformidad-Requisitos para Organismos que Certifican Productos, Procesos y Servicios</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Política de uso del logotipo y reclamaciones de la RTRS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RESPONSABILIDADES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4.1- E</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l coordinador técnico comercial/revisor técnico 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responsable de que todos los clientes cumplan con el presente procedimiento en cuanto al uso y la visualización de licencias, certificados, marcas de conformidad, etc.</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 el responsable de e</w:t>
      </w:r>
      <w:r w:rsidDel="00000000" w:rsidR="00000000" w:rsidRPr="00000000">
        <w:rPr>
          <w:sz w:val="24"/>
          <w:szCs w:val="24"/>
          <w:rtl w:val="0"/>
        </w:rPr>
        <w:t xml:space="preserve">ntregar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este procedimiento a los clientes</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verificar su cumplimiento</w:t>
      </w:r>
      <w:r w:rsidDel="00000000" w:rsidR="00000000" w:rsidRPr="00000000">
        <w:rPr>
          <w:sz w:val="24"/>
          <w:szCs w:val="24"/>
          <w:rtl w:val="0"/>
        </w:rPr>
        <w:t xml:space="preserve"> y</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tomar medidas en caso de uso </w:t>
      </w:r>
      <w:r w:rsidDel="00000000" w:rsidR="00000000" w:rsidRPr="00000000">
        <w:rPr>
          <w:sz w:val="24"/>
          <w:szCs w:val="24"/>
          <w:rtl w:val="0"/>
        </w:rPr>
        <w:t xml:space="preserve">no autorizado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DEFINICIONES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5.1 Marca de conformidad de tercera parte: marca protegida, emitida por un organismo que realiza la evaluación de la conformidad de tercera parte, que indica que un objeto de evaluación de la conformidad cumple los requisitos especificados aplicables.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5.2 Propietario de una marca de conformidad de tercera parte: persona u organización que tiene los derechos legales sobre una marca de conformidad de tercera parte.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5.3 Emisor de una marca de conformidad de tercera parte: organismo que otorga el derecho a utilizar una marca de conformidad de tercera parte.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DESARROLLO</w:t>
      </w:r>
    </w:p>
    <w:p w:rsidR="00000000" w:rsidDel="00000000" w:rsidP="00000000" w:rsidRDefault="00000000" w:rsidRPr="00000000" w14:paraId="00000019">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66"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Requisitos generales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como propietario de una marca de conformidad de tercera parte protege legalmente la marca contra el uso no autorizado.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por medio del coordinador técnico comercial comunica las </w:t>
      </w:r>
      <w:r w:rsidDel="00000000" w:rsidR="00000000" w:rsidRPr="00000000">
        <w:rPr>
          <w:sz w:val="24"/>
          <w:szCs w:val="24"/>
          <w:rtl w:val="0"/>
        </w:rPr>
        <w:t xml:space="preserve">responsabilidades de los clientes de acuerdo al procedimiento </w:t>
      </w:r>
      <w:r w:rsidDel="00000000" w:rsidR="00000000" w:rsidRPr="00000000">
        <w:rPr>
          <w:b w:val="1"/>
          <w:bCs w:val="1"/>
          <w:i w:val="1"/>
          <w:iCs w:val="1"/>
          <w:sz w:val="24"/>
          <w:szCs w:val="24"/>
          <w:rtl w:val="0"/>
        </w:rPr>
        <w:t xml:space="preserve">AGP 001 Acuerdo de certificación vigente,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establec</w:t>
      </w:r>
      <w:r w:rsidDel="00000000" w:rsidR="00000000" w:rsidRPr="00000000">
        <w:rPr>
          <w:sz w:val="24"/>
          <w:szCs w:val="24"/>
          <w:rtl w:val="0"/>
        </w:rPr>
        <w:t xml:space="preserve">iendo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un acuerdo legalmente ejecutable en consonancia con las reglas mencionadas</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Las referencias incorrectas al esquema de certificación, o el uso </w:t>
      </w:r>
      <w:r w:rsidDel="00000000" w:rsidR="00000000" w:rsidRPr="00000000">
        <w:rPr>
          <w:sz w:val="24"/>
          <w:szCs w:val="24"/>
          <w:rtl w:val="0"/>
        </w:rPr>
        <w:t xml:space="preserve">no autorizado</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las licencias, los certificados, las marcas y logos de conformidad o cualquier otro mecanismo para indicar que un producto está certificado, que se encuentren en la documentación o en otra publicidad, se deben tratar mediante una acción adecuada, retiro del certificado, publicación de la trasgresión y/o iniciar acciones legales.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94" w:right="0" w:firstLine="0"/>
        <w:jc w:val="both"/>
        <w:rPr>
          <w:rFonts w:ascii="Calibri" w:cs="Calibri" w:eastAsia="Calibri" w:hAnsi="Calibri"/>
          <w:b w:val="0"/>
          <w:bCs w:val="0"/>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66"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Marcas de conformidad de tercera parte y su uso</w:t>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diseñó y desarrolló una marca de conformidad de tercera parte para minimizar el riesgo de falsificación o de otras formas de uso indebido, según corresponda. </w:t>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La</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marca de conformidad de tercera parte va acompañada de información adicional para una mejor comprensión de la finalidad y la funcionalidad de la marca.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marca de conformidad de tercera parte, incluye la información que la acompaña o la información disponible al público, identifica a AmSpec y los aspectos cubiertos por la marca: calidad, seguridad, aspectos ambientales, desempeño, ética, etc. de forma tal que se evite cualquier potencial malentendido. </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Las marcas de conformidad son trazables a los requisitos especificados que se aplican al objeto de evaluación de la conformidad. </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La marca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 conformidad se usa cuando se refiere a todos los requisitos especificados que se aplican al objeto de evaluación de la conformidad.</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Sólo puede exhibirse en el producto o embalaje del producto una marca de conformidad de tercera parte emitida de acuerdo con un esquema de certificación de producto. Todas las demás marcas de conformidad de tercera parte, como aquellas relacionadas con los sistemas de gestión y con los servicios, no deben exhibirse sobre un producto, embalaje de producto, o de ninguna manera que pueda interpretarse que denota la conformidad del producto.</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Cuando una marca de conformidad de tercera parte se refiere a un producto tangible, la marca debe aplicarse directamente a cada producto. No obstante, únicamente cuando el tamaño físico del producto no lo permita o cuando la aplicación no sea apropiada para el tipo de producto, se puede aplicar sobre el embalaje u otra información que lo acompañe. Si una marca de conformidad de tercera parte solo se refiere a ciertas partes de un producto, las reglas que gobiernan su uso deben incluir los requisitos para minimizar cualquier malentendido de que la marca aplica al producto entero.</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94" w:right="0" w:hanging="360"/>
        <w:jc w:val="both"/>
        <w:rPr>
          <w:rFonts w:ascii="Calibri" w:cs="Calibri" w:eastAsia="Calibri" w:hAnsi="Calibri"/>
          <w:b w:val="0"/>
          <w:bCs w:val="0"/>
          <w:i w:val="0"/>
          <w:iCs w:val="0"/>
          <w:smallCaps w:val="0"/>
          <w:strike w:val="0"/>
          <w:color w:val="000000"/>
          <w:sz w:val="24"/>
          <w:szCs w:val="24"/>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Puede usarse una referencia a las marcas de conformidad de tercera parte en otros soportes, como membretes de cartas, tarjetas de visita, vehículos de empresa, material promocional, sitios web de Internet o redes sociales.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66"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Emisión de las marcas de conformidad de tercera parte</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5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emisión de marcas de conformidad de tercera parte se basa en un</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Esquema de certificación, de acuerdo al procedimiento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AGP 007 Solicitud de Certificación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 contenga al menos los elementos del enfoque funcional de acuerdo con la Norma ISO/IEC 17065. El esquema de certificación incluye también la vigilancia, una repetición sistemática de actividades de evaluación de la conformidad como base para mantener la validez de la declaración de conformidad, que asegure una confianza permanente en la marca de conformidad de tercera parte.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5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marca de conformidad de tercera parte solo será aplicada bajo las reglas de un </w:t>
      </w:r>
      <w:r w:rsidDel="00000000" w:rsidR="00000000" w:rsidRPr="00000000">
        <w:rPr>
          <w:rFonts w:ascii="Calibri" w:cs="Calibri" w:eastAsia="Calibri" w:hAnsi="Calibri"/>
          <w:b w:val="0"/>
          <w:bCs w:val="0"/>
          <w:i w:val="0"/>
          <w:iCs w:val="0"/>
          <w:smallCaps w:val="0"/>
          <w:strike w:val="0"/>
          <w:color w:val="000000"/>
          <w:sz w:val="24"/>
          <w:szCs w:val="24"/>
          <w:highlight w:val="white"/>
          <w:u w:val="none"/>
          <w:vertAlign w:val="baseline"/>
          <w:rtl w:val="0"/>
        </w:rPr>
        <w:t xml:space="preserve">Esquema de evaluación de la conformidad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que esté disponible al público.</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54"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 las reglas del</w:t>
      </w:r>
      <w:r w:rsidDel="00000000" w:rsidR="00000000" w:rsidRPr="00000000">
        <w:rPr>
          <w:rFonts w:ascii="Calibri" w:cs="Calibri" w:eastAsia="Calibri" w:hAnsi="Calibri"/>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Esquema de certificación se establece un período máximo apropiado para poder aplicar una marca de conformidad de tercera parte después de que la norma u otro documento normativo especificado se revise o quede obsoleto. El período máximo es el que dura la vigencia de la certificación.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4" w:right="0" w:firstLine="0"/>
        <w:jc w:val="both"/>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40" w:lineRule="auto"/>
        <w:ind w:left="-66"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Propiedad y control</w:t>
      </w:r>
    </w:p>
    <w:p w:rsidR="00000000" w:rsidDel="00000000" w:rsidP="00000000" w:rsidRDefault="00000000" w:rsidRPr="00000000" w14:paraId="0000002F">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Información</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por medio del coordinador técnico comercial o quien él designe, suministra, cuando se le solicita, información que explique el significado de la marca de conformidad de tercera parte. </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mantiene y actualiza una lista de los objetos de evaluación de la conformidad a los que se haya otorgado la marca de conformidad de tercera parte.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mantiene, actualiza y pone a disposición, cuando se le solicite, una descripción de los derechos y obligaciones de los licenciatarios, así como toda restricción o limitación en el uso de la marca.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Licencia</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El acuerdo especificado al procedimiento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AGP 001 Acuerdo de certificación </w:t>
      </w:r>
      <w:r w:rsidDel="00000000" w:rsidR="00000000" w:rsidRPr="00000000">
        <w:rPr>
          <w:b w:val="1"/>
          <w:bCs w:val="1"/>
          <w:sz w:val="24"/>
          <w:szCs w:val="24"/>
          <w:rtl w:val="0"/>
        </w:rPr>
        <w:t xml:space="preserve">vigente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contiene las disposiciones para asegurarse de que el licenciatario sigue las reglas del esquema.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realiza las siguientes actividades: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controlar el uso de la marca de conformidad de tercera parte;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 tomar acciones correctivas en caso de no conformidad o de uso indebido;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 conservar un registro de todas las quejas relacionadas con el uso de la marca de conformidad de tercera parte y ponerlo a disposición del propietario o emisor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Seguimiento del uso de las marcas de conformidad de tercera parte</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AmSpec tiene establecido c</w:t>
      </w:r>
      <w:r w:rsidDel="00000000" w:rsidR="00000000" w:rsidRPr="00000000">
        <w:rPr>
          <w:sz w:val="24"/>
          <w:szCs w:val="24"/>
          <w:rtl w:val="0"/>
        </w:rPr>
        <w:t xml:space="preserve">ó</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 tratar cualquier presunto uso indebido o engañoso de la marca de conformidad de tercera parte y debe tomar las acciones adecuadas. Estas acciones incluyen las que se tengan que tomar en caso de que la persona que ha incurrido en un uso indebido se niegue a subsanar. </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 tomarán acciones co</w:t>
      </w:r>
      <w:r w:rsidDel="00000000" w:rsidR="00000000" w:rsidRPr="00000000">
        <w:rPr>
          <w:rFonts w:ascii="Calibri" w:cs="Calibri" w:eastAsia="Calibri" w:hAnsi="Calibri"/>
          <w:b w:val="0"/>
          <w:bCs w:val="0"/>
          <w:i w:val="0"/>
          <w:iCs w:val="0"/>
          <w:smallCaps w:val="0"/>
          <w:strike w:val="0"/>
          <w:color w:val="000000"/>
          <w:sz w:val="24"/>
          <w:szCs w:val="24"/>
          <w:u w:val="none"/>
          <w:vertAlign w:val="baseline"/>
          <w:rtl w:val="0"/>
        </w:rPr>
        <w:t xml:space="preserve">rrectivas para todo uso indebido de la marca de conformidad de tercera parte.</w:t>
      </w:r>
    </w:p>
    <w:p w:rsidR="00000000" w:rsidDel="00000000" w:rsidP="00000000" w:rsidRDefault="00000000" w:rsidRPr="00000000" w14:paraId="0000003E">
      <w:pPr>
        <w:spacing w:after="0" w:line="240" w:lineRule="auto"/>
        <w:ind w:left="0" w:firstLine="0"/>
        <w:jc w:val="both"/>
        <w:rPr>
          <w:b w:val="1"/>
          <w:bCs w:val="1"/>
          <w:sz w:val="24"/>
          <w:szCs w:val="24"/>
        </w:rPr>
      </w:pPr>
      <w:r w:rsidDel="00000000" w:rsidR="00000000" w:rsidRPr="00000000">
        <w:rPr>
          <w:b w:val="1"/>
          <w:bCs w:val="1"/>
          <w:sz w:val="24"/>
          <w:szCs w:val="24"/>
          <w:rtl w:val="0"/>
        </w:rPr>
        <w:t xml:space="preserve">6.4.5    Autorización para el uso</w:t>
      </w:r>
    </w:p>
    <w:p w:rsidR="00000000" w:rsidDel="00000000" w:rsidP="00000000" w:rsidRDefault="00000000" w:rsidRPr="00000000" w14:paraId="0000003F">
      <w:pPr>
        <w:spacing w:after="0" w:line="240" w:lineRule="auto"/>
        <w:ind w:left="0" w:firstLine="0"/>
        <w:jc w:val="both"/>
        <w:rPr>
          <w:sz w:val="24"/>
          <w:szCs w:val="24"/>
        </w:rPr>
      </w:pPr>
      <w:r w:rsidDel="00000000" w:rsidR="00000000" w:rsidRPr="00000000">
        <w:rPr>
          <w:sz w:val="24"/>
          <w:szCs w:val="24"/>
          <w:rtl w:val="0"/>
        </w:rPr>
        <w:t xml:space="preserve">El uso de las marcas comerciales de RTRS para comunicar y realizar afirmaciones sobre productos y/u organizaciones se limita a aquellas organizaciones y personas que se encuentran en las siguientes categorías:</w:t>
      </w:r>
    </w:p>
    <w:p w:rsidR="00000000" w:rsidDel="00000000" w:rsidP="00000000" w:rsidRDefault="00000000" w:rsidRPr="00000000" w14:paraId="00000040">
      <w:pPr>
        <w:spacing w:after="0" w:line="240" w:lineRule="auto"/>
        <w:ind w:left="0" w:firstLine="0"/>
        <w:jc w:val="both"/>
        <w:rPr>
          <w:sz w:val="24"/>
          <w:szCs w:val="24"/>
        </w:rPr>
      </w:pPr>
      <w:r w:rsidDel="00000000" w:rsidR="00000000" w:rsidRPr="00000000">
        <w:rPr>
          <w:sz w:val="24"/>
          <w:szCs w:val="24"/>
          <w:rtl w:val="0"/>
        </w:rPr>
        <w:t xml:space="preserve">a) Titulares de certificados. Personas o organizaciones que posean un certificado válido de conformidad con la Norma RTRS para la Producción Responsable de Soja/Maíz, la Norma RTRS de Cadena de Custodia o el Módulo FEMASTM para la Certificación de Productos de Soja RTRS, emitido por un organismo de certificación RTRS (el «organismo de certificación»), exclusivamente según se indica en la presente política.</w:t>
      </w:r>
    </w:p>
    <w:p w:rsidR="00000000" w:rsidDel="00000000" w:rsidP="00000000" w:rsidRDefault="00000000" w:rsidRPr="00000000" w14:paraId="00000041">
      <w:pPr>
        <w:spacing w:after="0" w:line="240" w:lineRule="auto"/>
        <w:ind w:left="0" w:firstLine="0"/>
        <w:jc w:val="both"/>
        <w:rPr>
          <w:sz w:val="24"/>
          <w:szCs w:val="24"/>
        </w:rPr>
      </w:pPr>
      <w:r w:rsidDel="00000000" w:rsidR="00000000" w:rsidRPr="00000000">
        <w:rPr>
          <w:sz w:val="24"/>
          <w:szCs w:val="24"/>
          <w:rtl w:val="0"/>
        </w:rPr>
        <w:t xml:space="preserve">b) Titulares del Código de Uso de la Marca Registrada RTRS. Personas o organizaciones que hayan recibido un código de licencia de marca registrada válido de la RTRS y hayan firmado un acuerdo de licencia de marca registrada que contenga el alcance del uso del código, exclusivamente según lo indicado  en esta política. Esto incluye las siguientes categorías:</w:t>
      </w:r>
    </w:p>
    <w:p w:rsidR="00000000" w:rsidDel="00000000" w:rsidP="00000000" w:rsidRDefault="00000000" w:rsidRPr="00000000" w14:paraId="00000042">
      <w:pPr>
        <w:spacing w:after="0" w:line="240" w:lineRule="auto"/>
        <w:ind w:left="0" w:firstLine="0"/>
        <w:jc w:val="both"/>
        <w:rPr>
          <w:sz w:val="24"/>
          <w:szCs w:val="24"/>
        </w:rPr>
      </w:pPr>
      <w:r w:rsidDel="00000000" w:rsidR="00000000" w:rsidRPr="00000000">
        <w:rPr>
          <w:sz w:val="24"/>
          <w:szCs w:val="24"/>
          <w:rtl w:val="0"/>
        </w:rPr>
        <w:t xml:space="preserve">a) Miembros de la RTRS</w:t>
      </w:r>
    </w:p>
    <w:p w:rsidR="00000000" w:rsidDel="00000000" w:rsidP="00000000" w:rsidRDefault="00000000" w:rsidRPr="00000000" w14:paraId="00000043">
      <w:pPr>
        <w:spacing w:after="0" w:line="240" w:lineRule="auto"/>
        <w:ind w:left="0" w:firstLine="0"/>
        <w:jc w:val="both"/>
        <w:rPr>
          <w:sz w:val="24"/>
          <w:szCs w:val="24"/>
        </w:rPr>
      </w:pPr>
      <w:r w:rsidDel="00000000" w:rsidR="00000000" w:rsidRPr="00000000">
        <w:rPr>
          <w:sz w:val="24"/>
          <w:szCs w:val="24"/>
          <w:rtl w:val="0"/>
        </w:rPr>
        <w:t xml:space="preserve">b) Organismos de certificación</w:t>
      </w:r>
    </w:p>
    <w:p w:rsidR="00000000" w:rsidDel="00000000" w:rsidP="00000000" w:rsidRDefault="00000000" w:rsidRPr="00000000" w14:paraId="00000044">
      <w:pPr>
        <w:spacing w:after="0" w:line="240" w:lineRule="auto"/>
        <w:ind w:left="0" w:firstLine="0"/>
        <w:jc w:val="both"/>
        <w:rPr>
          <w:sz w:val="24"/>
          <w:szCs w:val="24"/>
        </w:rPr>
      </w:pPr>
      <w:r w:rsidDel="00000000" w:rsidR="00000000" w:rsidRPr="00000000">
        <w:rPr>
          <w:sz w:val="24"/>
          <w:szCs w:val="24"/>
          <w:rtl w:val="0"/>
        </w:rPr>
        <w:t xml:space="preserve">c) Propietarios de créditos: Propietarios legales de créditos de conformidad con los requisitos establecidos en la Plataforma de Comercio</w:t>
      </w:r>
    </w:p>
    <w:p w:rsidR="00000000" w:rsidDel="00000000" w:rsidP="00000000" w:rsidRDefault="00000000" w:rsidRPr="00000000" w14:paraId="00000045">
      <w:pPr>
        <w:spacing w:after="0" w:line="240" w:lineRule="auto"/>
        <w:ind w:left="0" w:firstLine="0"/>
        <w:jc w:val="both"/>
        <w:rPr>
          <w:sz w:val="24"/>
          <w:szCs w:val="24"/>
        </w:rPr>
      </w:pPr>
      <w:r w:rsidDel="00000000" w:rsidR="00000000" w:rsidRPr="00000000">
        <w:rPr>
          <w:sz w:val="24"/>
          <w:szCs w:val="24"/>
          <w:rtl w:val="0"/>
        </w:rPr>
        <w:t xml:space="preserve">d) Otras personas u organizaciones a las que se les ha concedido un permiso especial para utilizar las marcas registradas de la RTRS.</w:t>
      </w:r>
    </w:p>
    <w:p w:rsidR="00000000" w:rsidDel="00000000" w:rsidP="00000000" w:rsidRDefault="00000000" w:rsidRPr="00000000" w14:paraId="00000046">
      <w:pPr>
        <w:numPr>
          <w:ilvl w:val="0"/>
          <w:numId w:val="5"/>
        </w:numPr>
        <w:spacing w:after="0" w:line="240" w:lineRule="auto"/>
        <w:ind w:left="720" w:hanging="360"/>
        <w:jc w:val="both"/>
        <w:rPr>
          <w:sz w:val="24"/>
          <w:szCs w:val="24"/>
        </w:rPr>
      </w:pPr>
      <w:r w:rsidDel="00000000" w:rsidR="00000000" w:rsidRPr="00000000">
        <w:rPr>
          <w:sz w:val="24"/>
          <w:szCs w:val="24"/>
          <w:rtl w:val="0"/>
        </w:rPr>
        <w:t xml:space="preserve">Todos los usuarios de marcas registradas de la RTRS en las categorías establecidas en el punto anterior deben firmar un acuerdo de licencia de marca registrada con RTRS (para los titulares de certificados, esto formará parte del proceso de certificación, y para los miembros, formará parte del proceso de afiliación y renovación de la afiliación).</w:t>
      </w:r>
    </w:p>
    <w:p w:rsidR="00000000" w:rsidDel="00000000" w:rsidP="00000000" w:rsidRDefault="00000000" w:rsidRPr="00000000" w14:paraId="00000047">
      <w:pPr>
        <w:numPr>
          <w:ilvl w:val="0"/>
          <w:numId w:val="5"/>
        </w:numPr>
        <w:spacing w:after="0" w:line="240" w:lineRule="auto"/>
        <w:ind w:left="720" w:hanging="360"/>
        <w:jc w:val="both"/>
        <w:rPr>
          <w:sz w:val="24"/>
          <w:szCs w:val="24"/>
        </w:rPr>
      </w:pPr>
      <w:r w:rsidDel="00000000" w:rsidR="00000000" w:rsidRPr="00000000">
        <w:rPr>
          <w:sz w:val="24"/>
          <w:szCs w:val="24"/>
          <w:rtl w:val="0"/>
        </w:rPr>
        <w:t xml:space="preserve">Las personas o organizaciones (como instituciones académicas o medios de comunicación) que hagan referencia por cualquier medio a las actividades de la RTRS o de sus miembros (incluida cualquier referencia a las políticas, manuales, documentos técnicos, normas y cualquier documento elaborado por la RTRS) no están obligadas a firmar un acuerdo de licencia de marca, pero se consideran usuarios de la marca RTRS y están sujetas a las disposiciones aplicables del presente documento.</w:t>
      </w:r>
    </w:p>
    <w:p w:rsidR="00000000" w:rsidDel="00000000" w:rsidP="00000000" w:rsidRDefault="00000000" w:rsidRPr="00000000" w14:paraId="00000048">
      <w:pPr>
        <w:numPr>
          <w:ilvl w:val="0"/>
          <w:numId w:val="5"/>
        </w:numPr>
        <w:spacing w:after="0" w:line="240" w:lineRule="auto"/>
        <w:ind w:left="720" w:hanging="360"/>
        <w:jc w:val="both"/>
        <w:rPr>
          <w:sz w:val="24"/>
          <w:szCs w:val="24"/>
        </w:rPr>
      </w:pPr>
      <w:r w:rsidDel="00000000" w:rsidR="00000000" w:rsidRPr="00000000">
        <w:rPr>
          <w:sz w:val="24"/>
          <w:szCs w:val="24"/>
          <w:rtl w:val="0"/>
        </w:rPr>
        <w:t xml:space="preserve">Todo el material publicitario, de marketing y/o promocional utilizado por los usuarios de la marca RTRS, incluidas las marcas RTRS, debe cumplir la política y/o cualquier otra directriz o instrucción proporcionada o que se proporcione en el futuro por parte de RTRS. Los usuarios de la marca RTRS deberán conservar una copia de todo el material promocional y mostrarlo a la RTRS cuando esta lo solicite. Además, la RTRS podrá solicitar a los usuarios de la marca RTRS que realicen cualquier cambio, ajuste y/o modificación que la RTRS considere necesario para mantener y mejorar el valor de la buena voluntad que reside en la marca RTRS correspondiente y/o para que dicho material cumpla con esta política. Los usuarios de las marcas registradas de la RTRS deberán asumir todos los costos relacionados con la producción, modificación y/o entrega de dichos materiales publicitarios y promocionales.</w:t>
      </w:r>
    </w:p>
    <w:p w:rsidR="00000000" w:rsidDel="00000000" w:rsidP="00000000" w:rsidRDefault="00000000" w:rsidRPr="00000000" w14:paraId="00000049">
      <w:pPr>
        <w:numPr>
          <w:ilvl w:val="0"/>
          <w:numId w:val="5"/>
        </w:numPr>
        <w:spacing w:after="0" w:line="240" w:lineRule="auto"/>
        <w:ind w:left="720" w:hanging="360"/>
        <w:jc w:val="both"/>
        <w:rPr>
          <w:sz w:val="24"/>
          <w:szCs w:val="24"/>
        </w:rPr>
      </w:pPr>
      <w:r w:rsidDel="00000000" w:rsidR="00000000" w:rsidRPr="00000000">
        <w:rPr>
          <w:sz w:val="24"/>
          <w:szCs w:val="24"/>
          <w:rtl w:val="0"/>
        </w:rPr>
        <w:t xml:space="preserve">La solicitud de dicha autorización deberá dirigirse a la organización pertinente de la siguiente manera:</w:t>
      </w:r>
    </w:p>
    <w:p w:rsidR="00000000" w:rsidDel="00000000" w:rsidP="00000000" w:rsidRDefault="00000000" w:rsidRPr="00000000" w14:paraId="0000004A">
      <w:pPr>
        <w:spacing w:after="0" w:line="240" w:lineRule="auto"/>
        <w:jc w:val="both"/>
        <w:rPr>
          <w:sz w:val="24"/>
          <w:szCs w:val="24"/>
        </w:rPr>
      </w:pPr>
      <w:r w:rsidDel="00000000" w:rsidR="00000000" w:rsidRPr="00000000">
        <w:rPr>
          <w:sz w:val="24"/>
          <w:szCs w:val="24"/>
          <w:rtl w:val="0"/>
        </w:rPr>
        <w:t xml:space="preserve">a) Para los titulares de certificados: el organismo de certificación que emitió el certificado es el agente autorizado.</w:t>
      </w:r>
    </w:p>
    <w:p w:rsidR="00000000" w:rsidDel="00000000" w:rsidP="00000000" w:rsidRDefault="00000000" w:rsidRPr="00000000" w14:paraId="0000004B">
      <w:pPr>
        <w:spacing w:after="0" w:line="240" w:lineRule="auto"/>
        <w:jc w:val="both"/>
        <w:rPr>
          <w:sz w:val="24"/>
          <w:szCs w:val="24"/>
        </w:rPr>
      </w:pPr>
      <w:r w:rsidDel="00000000" w:rsidR="00000000" w:rsidRPr="00000000">
        <w:rPr>
          <w:sz w:val="24"/>
          <w:szCs w:val="24"/>
          <w:rtl w:val="0"/>
        </w:rPr>
        <w:t xml:space="preserve">b) Para los titulares de códigos de uso de marcas registradas: la secretaría de la RTRS es el agente autorizado.</w:t>
      </w:r>
    </w:p>
    <w:p w:rsidR="00000000" w:rsidDel="00000000" w:rsidP="00000000" w:rsidRDefault="00000000" w:rsidRPr="00000000" w14:paraId="0000004C">
      <w:pPr>
        <w:spacing w:after="0" w:line="240" w:lineRule="auto"/>
        <w:jc w:val="both"/>
        <w:rPr>
          <w:sz w:val="24"/>
          <w:szCs w:val="24"/>
        </w:rPr>
      </w:pPr>
      <w:r w:rsidDel="00000000" w:rsidR="00000000" w:rsidRPr="00000000">
        <w:rPr>
          <w:sz w:val="24"/>
          <w:szCs w:val="24"/>
          <w:rtl w:val="0"/>
        </w:rPr>
        <w:t xml:space="preserve">Los usuarios de las marcas comerciales de la RTRS deberán solicitar asesoramiento a su agente autorizado en caso de duda (es decir, cuando el usuario no esté seguro de estar utilizando correctamente las marcas comerciales de la RTRS).</w:t>
      </w:r>
    </w:p>
    <w:p w:rsidR="00000000" w:rsidDel="00000000" w:rsidP="00000000" w:rsidRDefault="00000000" w:rsidRPr="00000000" w14:paraId="0000004D">
      <w:pPr>
        <w:spacing w:after="0" w:line="240" w:lineRule="auto"/>
        <w:jc w:val="both"/>
        <w:rPr>
          <w:sz w:val="24"/>
          <w:szCs w:val="24"/>
        </w:rPr>
      </w:pPr>
      <w:r w:rsidDel="00000000" w:rsidR="00000000" w:rsidRPr="00000000">
        <w:rPr>
          <w:sz w:val="24"/>
          <w:szCs w:val="24"/>
          <w:rtl w:val="0"/>
        </w:rPr>
        <w:t xml:space="preserve">El uso de la marca comercial RTRS deberá justificarse con pruebas documentadas de la afirmación RTRS realizada, que sean veraces y verificables. Los usuarios de la marca comercial RTRS deberán proporcionar, previa solicitud, estas pruebas documentadas a la RTRS y/o al organismo de certificación correspondiente.</w:t>
      </w:r>
    </w:p>
    <w:p w:rsidR="00000000" w:rsidDel="00000000" w:rsidP="00000000" w:rsidRDefault="00000000" w:rsidRPr="00000000" w14:paraId="0000004E">
      <w:pPr>
        <w:spacing w:after="0" w:line="240" w:lineRule="auto"/>
        <w:jc w:val="both"/>
        <w:rPr>
          <w:sz w:val="24"/>
          <w:szCs w:val="24"/>
        </w:rPr>
      </w:pPr>
      <w:r w:rsidDel="00000000" w:rsidR="00000000" w:rsidRPr="00000000">
        <w:rPr>
          <w:sz w:val="24"/>
          <w:szCs w:val="24"/>
          <w:rtl w:val="0"/>
        </w:rPr>
        <w:t xml:space="preserve">Los usuarios de la marca comercial RTRS deberán conservar todos los registros de las aprobaciones concedidas por el agente autorizado y los registros de los usos de la marca comercial RTRS. El tiempo mínimo de conservación de todos los registros e informes será de cinco (5) años a partir de la fecha de entrada en vigencia.</w:t>
      </w:r>
    </w:p>
    <w:p w:rsidR="00000000" w:rsidDel="00000000" w:rsidP="00000000" w:rsidRDefault="00000000" w:rsidRPr="00000000" w14:paraId="0000004F">
      <w:pPr>
        <w:spacing w:after="0" w:line="240" w:lineRule="auto"/>
        <w:jc w:val="both"/>
        <w:rPr>
          <w:sz w:val="24"/>
          <w:szCs w:val="24"/>
        </w:rPr>
      </w:pPr>
      <w:r w:rsidDel="00000000" w:rsidR="00000000" w:rsidRPr="00000000">
        <w:rPr>
          <w:sz w:val="24"/>
          <w:szCs w:val="24"/>
          <w:rtl w:val="0"/>
        </w:rPr>
        <w:t xml:space="preserve">En caso de que la certificación caduque, sea revocada o se rescinda de alguna manera (en el caso de los titulares de certificados) y/o se rescinda el código de licencia de la marca comercial, por cualquier motivo, los usuarios de la marca comercial RTRS deberán cesar inmediatamente cualquier uso de cualquier tipo de las marcas comerciales RTRS, incluidas las reclamaciones y cualquier referencia a la certificación RTRS en relación con el cumplimiento de las normas RTRS, que deberán eliminarse de todos y cada uno de los productos, envases de productos, etiquetas de productos, productos, publicidad de organizaciones o servicios o materiales promocionales o relacionados con productos, organizaciones o servicios (incluidos, entre otros, publicidad, folletos de organizaciones y sitios web) en un plazo de 3 (tres) días a partir de la</w:t>
      </w:r>
    </w:p>
    <w:p w:rsidR="00000000" w:rsidDel="00000000" w:rsidP="00000000" w:rsidRDefault="00000000" w:rsidRPr="00000000" w14:paraId="00000050">
      <w:pPr>
        <w:spacing w:after="0" w:line="240" w:lineRule="auto"/>
        <w:jc w:val="both"/>
        <w:rPr>
          <w:sz w:val="24"/>
          <w:szCs w:val="24"/>
        </w:rPr>
      </w:pPr>
      <w:r w:rsidDel="00000000" w:rsidR="00000000" w:rsidRPr="00000000">
        <w:rPr>
          <w:sz w:val="24"/>
          <w:szCs w:val="24"/>
          <w:rtl w:val="0"/>
        </w:rPr>
        <w:t xml:space="preserve">fecha de caducidad.</w:t>
      </w:r>
    </w:p>
    <w:p w:rsidR="00000000" w:rsidDel="00000000" w:rsidP="00000000" w:rsidRDefault="00000000" w:rsidRPr="00000000" w14:paraId="00000051">
      <w:pPr>
        <w:spacing w:after="0" w:line="240" w:lineRule="auto"/>
        <w:jc w:val="both"/>
        <w:rPr>
          <w:sz w:val="24"/>
          <w:szCs w:val="24"/>
        </w:rPr>
      </w:pPr>
      <w:r w:rsidDel="00000000" w:rsidR="00000000" w:rsidRPr="00000000">
        <w:rPr>
          <w:sz w:val="24"/>
          <w:szCs w:val="24"/>
          <w:rtl w:val="0"/>
        </w:rPr>
        <w:t xml:space="preserve">Cuando la secretaría de la RTRS sea el agente autorizador, la solicitud de dicha autorización se dirigirá a la siguiente dirección de correo electrónico:info@responsiblesoy.org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3znysh7" w:id="1"/>
      <w:bookmarkEnd w:id="1"/>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Uso de logotipos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logotipo oficial 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Amspec</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 utilizarse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únicamente en color rojo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según el diseño corporativo presentado en la imagen de referencia, sin alteraciones de tonalidad, proporción o tipografía.</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Queda prohibida toda modificación del logotipo, incluyendo cambios de color, rotación, deformación, o adición de elementos gráficos o textos no autorizados.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logotipo puede aplicarse únicamente en documentos o materiales que correspondan a servicios, reportes o comunicaciones emitidas por Amspec en el marco del sistema RTRS, evitando generar confusión con los logotipos o marcas RTRS.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se debe usar el logotipo de Amspec junto al logotipo RTRS de forma que sugiera una relación de certificación directa. En caso de requerirse ambos logos en un mismo documento, se debe aclarar el rol de cada entidad (por ejemplo: “Certificación gestionada bajo el estándar RTRS”).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Toda nueva aplicación del logotipo (en documentos, informes, presentaciones o soportes digitales) deberá ser revisada y aprobada previamente por el responsable de Calidad o del Sistema RTRS.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archivo original del logotipo rojo de Amspec debe conservarse en formato editable (.png o .ai) en la carpeta de uso controlado, dentro del sistema de gestión documental.</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2269674" cy="843022"/>
            <wp:effectExtent b="0" l="0" r="0" t="0"/>
            <wp:docPr id="19751153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2269674" cy="843022"/>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Para el uso de logos de la certificación RTRS se debe tomar en consideración lo establecido en el documento: RTRS Use of the Logo &amp; Claims Policy (última versión vigente) publicado en la página oficial de RTRS.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ARCHIVO Y CONSERVACIÓN DE REGISTROS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Los registros de cada servicio deberán archivarse de manera secuencial, en el expediente correspondiente, así mismo aplicando un sistema de conservación </w:t>
      </w:r>
      <w:r w:rsidDel="00000000" w:rsidR="00000000" w:rsidRPr="00000000">
        <w:rPr>
          <w:i w:val="1"/>
          <w:iCs w:val="1"/>
          <w:sz w:val="24"/>
          <w:szCs w:val="24"/>
          <w:highlight w:val="white"/>
          <w:rtl w:val="0"/>
        </w:rPr>
        <w:t xml:space="preserve">por un período mínimo de un ciclo de certificación más cinco (5) años.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ANEXOS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HISTORIAL DE REVISIONES</w:t>
      </w:r>
    </w:p>
    <w:tbl>
      <w:tblPr>
        <w:tblStyle w:val="Table1"/>
        <w:tblW w:w="10995.0" w:type="dxa"/>
        <w:jc w:val="left"/>
        <w:tblBorders>
          <w:top w:color="a3a3a3" w:space="0" w:sz="8" w:val="single"/>
          <w:left w:color="a3a3a3" w:space="0" w:sz="8" w:val="single"/>
          <w:bottom w:color="a3a3a3" w:space="0" w:sz="8" w:val="single"/>
          <w:right w:color="a3a3a3" w:space="0" w:sz="8" w:val="single"/>
          <w:insideH w:color="000000" w:space="0" w:sz="4" w:val="single"/>
          <w:insideV w:color="000000" w:space="0" w:sz="4" w:val="single"/>
        </w:tblBorders>
        <w:tblLayout w:type="fixed"/>
        <w:tblLook w:val="0600"/>
      </w:tblPr>
      <w:tblGrid>
        <w:gridCol w:w="1065"/>
        <w:gridCol w:w="1995"/>
        <w:gridCol w:w="2565"/>
        <w:gridCol w:w="1815"/>
        <w:gridCol w:w="1095"/>
        <w:gridCol w:w="2460"/>
        <w:tblGridChange w:id="0">
          <w:tblGrid>
            <w:gridCol w:w="1065"/>
            <w:gridCol w:w="1995"/>
            <w:gridCol w:w="2565"/>
            <w:gridCol w:w="1815"/>
            <w:gridCol w:w="1095"/>
            <w:gridCol w:w="2460"/>
          </w:tblGrid>
        </w:tblGridChange>
      </w:tblGrid>
      <w:tr>
        <w:trPr>
          <w:cantSplit w:val="0"/>
          <w:trHeight w:val="30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3">
            <w:pPr>
              <w:rPr/>
            </w:pPr>
            <w:r w:rsidDel="00000000" w:rsidR="00000000" w:rsidRPr="00000000">
              <w:rPr>
                <w:b w:val="1"/>
                <w:bCs w:val="1"/>
                <w:rtl w:val="0"/>
              </w:rPr>
              <w:t xml:space="preserve">Versión</w:t>
            </w:r>
            <w:r w:rsidDel="00000000" w:rsidR="00000000" w:rsidRPr="00000000">
              <w:rPr>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4">
            <w:pPr>
              <w:rPr/>
            </w:pPr>
            <w:r w:rsidDel="00000000" w:rsidR="00000000" w:rsidRPr="00000000">
              <w:rPr>
                <w:b w:val="1"/>
                <w:bCs w:val="1"/>
                <w:rtl w:val="0"/>
              </w:rPr>
              <w:t xml:space="preserve">Fecha de Vigencia</w:t>
            </w:r>
            <w:r w:rsidDel="00000000" w:rsidR="00000000" w:rsidRPr="00000000">
              <w:rPr>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5">
            <w:pPr>
              <w:rPr/>
            </w:pPr>
            <w:r w:rsidDel="00000000" w:rsidR="00000000" w:rsidRPr="00000000">
              <w:rPr>
                <w:b w:val="1"/>
                <w:bCs w:val="1"/>
                <w:rtl w:val="0"/>
              </w:rPr>
              <w:t xml:space="preserve">Descripción del cambio</w:t>
            </w:r>
            <w:r w:rsidDel="00000000" w:rsidR="00000000" w:rsidRPr="00000000">
              <w:rPr>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6">
            <w:pPr>
              <w:rPr/>
            </w:pPr>
            <w:r w:rsidDel="00000000" w:rsidR="00000000" w:rsidRPr="00000000">
              <w:rPr>
                <w:b w:val="1"/>
                <w:bCs w:val="1"/>
                <w:rtl w:val="0"/>
              </w:rPr>
              <w:t xml:space="preserve">Responsable</w:t>
            </w:r>
            <w:r w:rsidDel="00000000" w:rsidR="00000000" w:rsidRPr="00000000">
              <w:rPr>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7">
            <w:pPr>
              <w:rPr/>
            </w:pPr>
            <w:r w:rsidDel="00000000" w:rsidR="00000000" w:rsidRPr="00000000">
              <w:rPr>
                <w:b w:val="1"/>
                <w:bCs w:val="1"/>
                <w:rtl w:val="0"/>
              </w:rPr>
              <w:t xml:space="preserve">Revisión</w:t>
            </w:r>
            <w:r w:rsidDel="00000000" w:rsidR="00000000" w:rsidRPr="00000000">
              <w:rPr>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8">
            <w:pPr>
              <w:rPr/>
            </w:pPr>
            <w:r w:rsidDel="00000000" w:rsidR="00000000" w:rsidRPr="00000000">
              <w:rPr>
                <w:b w:val="1"/>
                <w:bCs w:val="1"/>
                <w:rtl w:val="0"/>
              </w:rPr>
              <w:t xml:space="preserve">Aprobación</w:t>
            </w:r>
            <w:r w:rsidDel="00000000" w:rsidR="00000000" w:rsidRPr="00000000">
              <w:rPr>
                <w:rtl w:val="0"/>
              </w:rPr>
            </w:r>
          </w:p>
        </w:tc>
      </w:tr>
      <w:tr>
        <w:trPr>
          <w:cantSplit w:val="0"/>
          <w:trHeight w:val="300" w:hRule="atLeast"/>
          <w:tblHeader w:val="0"/>
        </w:trPr>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9">
            <w:pPr>
              <w:rPr/>
            </w:pPr>
            <w:r w:rsidDel="00000000" w:rsidR="00000000" w:rsidRPr="00000000">
              <w:rPr>
                <w:b w:val="1"/>
                <w:bCs w:val="1"/>
                <w:rtl w:val="0"/>
              </w:rPr>
              <w:t xml:space="preserve">00</w:t>
            </w:r>
            <w:r w:rsidDel="00000000" w:rsidR="00000000" w:rsidRPr="00000000">
              <w:rPr>
                <w:rtl w:val="0"/>
              </w:rPr>
              <w:t xml:space="preserve">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A">
            <w:pPr>
              <w:rPr/>
            </w:pPr>
            <w:r w:rsidDel="00000000" w:rsidR="00000000" w:rsidRPr="00000000">
              <w:rPr>
                <w:rtl w:val="0"/>
              </w:rPr>
              <w:t xml:space="preserve">11/2/2025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B">
            <w:pPr>
              <w:rPr/>
            </w:pPr>
            <w:r w:rsidDel="00000000" w:rsidR="00000000" w:rsidRPr="00000000">
              <w:rPr>
                <w:rtl w:val="0"/>
              </w:rPr>
              <w:t xml:space="preserve">Creación del documento </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C">
            <w:pPr>
              <w:rPr/>
            </w:pPr>
            <w:r w:rsidDel="00000000" w:rsidR="00000000" w:rsidRPr="00000000">
              <w:rPr>
                <w:rtl w:val="0"/>
              </w:rPr>
              <w:t xml:space="preserve">Manuela Azcuaga</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D">
            <w:pPr>
              <w:rPr/>
            </w:pPr>
            <w:r w:rsidDel="00000000" w:rsidR="00000000" w:rsidRPr="00000000">
              <w:rPr>
                <w:rtl w:val="0"/>
              </w:rPr>
              <w:t xml:space="preserve">Manuela Azcuaga</w:t>
            </w:r>
          </w:p>
        </w:tc>
        <w:tc>
          <w:tcPr>
            <w:tcBorders>
              <w:top w:color="a3a3a3" w:space="0" w:sz="8" w:val="single"/>
              <w:left w:color="a3a3a3" w:space="0" w:sz="8" w:val="single"/>
              <w:bottom w:color="a3a3a3" w:space="0" w:sz="8" w:val="single"/>
              <w:right w:color="a3a3a3" w:space="0" w:sz="8" w:val="single"/>
            </w:tcBorders>
            <w:tcMar>
              <w:top w:w="80.0" w:type="dxa"/>
              <w:left w:w="80.0" w:type="dxa"/>
              <w:bottom w:w="80.0" w:type="dxa"/>
              <w:right w:w="80.0" w:type="dxa"/>
            </w:tcMar>
          </w:tcPr>
          <w:p w:rsidR="00000000" w:rsidDel="00000000" w:rsidP="00000000" w:rsidRDefault="00000000" w:rsidRPr="00000000" w14:paraId="0000006E">
            <w:pPr>
              <w:rPr/>
            </w:pPr>
            <w:r w:rsidDel="00000000" w:rsidR="00000000" w:rsidRPr="00000000">
              <w:rPr>
                <w:rtl w:val="0"/>
              </w:rPr>
              <w:t xml:space="preserve">Alejandro Carvalho</w:t>
            </w:r>
          </w:p>
        </w:tc>
      </w:tr>
      <w:tr>
        <w:trPr>
          <w:cantSplit w:val="0"/>
          <w:trHeight w:val="300" w:hRule="atLeast"/>
          <w:tblHeader w:val="0"/>
        </w:trPr>
        <w:tc>
          <w:tcPr>
            <w:tcBorders>
              <w:top w:color="a3a3a3" w:space="0" w:sz="6" w:val="single"/>
              <w:left w:color="a3a3a3" w:space="0" w:sz="6" w:val="single"/>
              <w:bottom w:color="a3a3a3" w:space="0" w:sz="6" w:val="single"/>
              <w:right w:color="a3a3a3" w:space="0" w:sz="6" w:val="single"/>
            </w:tcBorders>
            <w:tcMar>
              <w:top w:w="75.0" w:type="dxa"/>
              <w:left w:w="75.0" w:type="dxa"/>
              <w:bottom w:w="75.0" w:type="dxa"/>
              <w:right w:w="75.0" w:type="dxa"/>
            </w:tcMar>
            <w:vAlign w:val="top"/>
          </w:tcPr>
          <w:p w:rsidR="00000000" w:rsidDel="00000000" w:rsidP="00000000" w:rsidRDefault="00000000" w:rsidRPr="00000000" w14:paraId="0000006F">
            <w:pPr>
              <w:rPr>
                <w:b w:val="1"/>
                <w:bCs w:val="1"/>
              </w:rPr>
            </w:pPr>
            <w:r w:rsidDel="00000000" w:rsidR="00000000" w:rsidRPr="00000000">
              <w:rPr>
                <w:b w:val="1"/>
                <w:bCs w:val="1"/>
                <w:rtl w:val="0"/>
              </w:rPr>
              <w:t xml:space="preserve">01</w:t>
            </w:r>
          </w:p>
        </w:tc>
        <w:tc>
          <w:tcPr>
            <w:tcBorders>
              <w:top w:color="a3a3a3" w:space="0" w:sz="6" w:val="single"/>
              <w:left w:color="a3a3a3" w:space="0" w:sz="6" w:val="single"/>
              <w:bottom w:color="a3a3a3" w:space="0" w:sz="6" w:val="single"/>
              <w:right w:color="a3a3a3" w:space="0" w:sz="6" w:val="single"/>
            </w:tcBorders>
            <w:tcMar>
              <w:top w:w="75.0" w:type="dxa"/>
              <w:left w:w="75.0" w:type="dxa"/>
              <w:bottom w:w="75.0" w:type="dxa"/>
              <w:right w:w="75.0" w:type="dxa"/>
            </w:tcMar>
            <w:vAlign w:val="top"/>
          </w:tcPr>
          <w:p w:rsidR="00000000" w:rsidDel="00000000" w:rsidP="00000000" w:rsidRDefault="00000000" w:rsidRPr="00000000" w14:paraId="00000070">
            <w:pPr>
              <w:rPr/>
            </w:pPr>
            <w:r w:rsidDel="00000000" w:rsidR="00000000" w:rsidRPr="00000000">
              <w:rPr>
                <w:rtl w:val="0"/>
              </w:rPr>
              <w:t xml:space="preserve">16/3/2026</w:t>
            </w:r>
          </w:p>
        </w:tc>
        <w:tc>
          <w:tcPr>
            <w:tcBorders>
              <w:top w:color="a3a3a3" w:space="0" w:sz="6" w:val="single"/>
              <w:left w:color="a3a3a3" w:space="0" w:sz="6" w:val="single"/>
              <w:bottom w:color="a3a3a3" w:space="0" w:sz="6" w:val="single"/>
              <w:right w:color="a3a3a3" w:space="0" w:sz="6" w:val="single"/>
            </w:tcBorders>
            <w:tcMar>
              <w:top w:w="75.0" w:type="dxa"/>
              <w:left w:w="75.0" w:type="dxa"/>
              <w:bottom w:w="75.0" w:type="dxa"/>
              <w:right w:w="75.0" w:type="dxa"/>
            </w:tcMar>
            <w:vAlign w:val="top"/>
          </w:tcPr>
          <w:p w:rsidR="00000000" w:rsidDel="00000000" w:rsidP="00000000" w:rsidRDefault="00000000" w:rsidRPr="00000000" w14:paraId="00000071">
            <w:pPr>
              <w:rPr/>
            </w:pPr>
            <w:r w:rsidDel="00000000" w:rsidR="00000000" w:rsidRPr="00000000">
              <w:rPr>
                <w:rtl w:val="0"/>
              </w:rPr>
              <w:t xml:space="preserve">Adaptación a desvíos del estudio documental para acreditación RTRS/ISO 17065</w:t>
            </w:r>
          </w:p>
        </w:tc>
        <w:tc>
          <w:tcPr>
            <w:tcBorders>
              <w:top w:color="a3a3a3" w:space="0" w:sz="6" w:val="single"/>
              <w:left w:color="a3a3a3" w:space="0" w:sz="6" w:val="single"/>
              <w:bottom w:color="a3a3a3" w:space="0" w:sz="6" w:val="single"/>
              <w:right w:color="a3a3a3" w:space="0" w:sz="6" w:val="single"/>
            </w:tcBorders>
            <w:tcMar>
              <w:top w:w="75.0" w:type="dxa"/>
              <w:left w:w="75.0" w:type="dxa"/>
              <w:bottom w:w="75.0" w:type="dxa"/>
              <w:right w:w="75.0" w:type="dxa"/>
            </w:tcMar>
            <w:vAlign w:val="top"/>
          </w:tcPr>
          <w:p w:rsidR="00000000" w:rsidDel="00000000" w:rsidP="00000000" w:rsidRDefault="00000000" w:rsidRPr="00000000" w14:paraId="00000072">
            <w:pPr>
              <w:rPr/>
            </w:pPr>
            <w:r w:rsidDel="00000000" w:rsidR="00000000" w:rsidRPr="00000000">
              <w:rPr>
                <w:rtl w:val="0"/>
              </w:rPr>
              <w:t xml:space="preserve">Manuela Azcuaga</w:t>
            </w:r>
          </w:p>
        </w:tc>
        <w:tc>
          <w:tcPr>
            <w:tcBorders>
              <w:top w:color="a3a3a3" w:space="0" w:sz="6" w:val="single"/>
              <w:left w:color="a3a3a3" w:space="0" w:sz="6" w:val="single"/>
              <w:bottom w:color="a3a3a3" w:space="0" w:sz="6" w:val="single"/>
              <w:right w:color="a3a3a3" w:space="0" w:sz="6" w:val="single"/>
            </w:tcBorders>
            <w:tcMar>
              <w:top w:w="75.0" w:type="dxa"/>
              <w:left w:w="75.0" w:type="dxa"/>
              <w:bottom w:w="75.0" w:type="dxa"/>
              <w:right w:w="75.0" w:type="dxa"/>
            </w:tcMar>
            <w:vAlign w:val="top"/>
          </w:tcPr>
          <w:p w:rsidR="00000000" w:rsidDel="00000000" w:rsidP="00000000" w:rsidRDefault="00000000" w:rsidRPr="00000000" w14:paraId="00000073">
            <w:pPr>
              <w:rPr/>
            </w:pPr>
            <w:r w:rsidDel="00000000" w:rsidR="00000000" w:rsidRPr="00000000">
              <w:rPr>
                <w:rtl w:val="0"/>
              </w:rPr>
              <w:t xml:space="preserve">Alejandra De Mattia</w:t>
            </w:r>
          </w:p>
        </w:tc>
        <w:tc>
          <w:tcPr>
            <w:tcBorders>
              <w:top w:color="a3a3a3" w:space="0" w:sz="6" w:val="single"/>
              <w:left w:color="a3a3a3" w:space="0" w:sz="6" w:val="single"/>
              <w:bottom w:color="a3a3a3" w:space="0" w:sz="6" w:val="single"/>
              <w:right w:color="a3a3a3" w:space="0" w:sz="6" w:val="single"/>
            </w:tcBorders>
            <w:tcMar>
              <w:top w:w="75.0" w:type="dxa"/>
              <w:left w:w="75.0" w:type="dxa"/>
              <w:bottom w:w="75.0" w:type="dxa"/>
              <w:right w:w="75.0" w:type="dxa"/>
            </w:tcMar>
            <w:vAlign w:val="top"/>
          </w:tcPr>
          <w:p w:rsidR="00000000" w:rsidDel="00000000" w:rsidP="00000000" w:rsidRDefault="00000000" w:rsidRPr="00000000" w14:paraId="00000074">
            <w:pPr>
              <w:rPr/>
            </w:pPr>
            <w:r w:rsidDel="00000000" w:rsidR="00000000" w:rsidRPr="00000000">
              <w:rPr>
                <w:rtl w:val="0"/>
              </w:rPr>
              <w:t xml:space="preserve">Alejandro Carvalho</w:t>
            </w:r>
          </w:p>
        </w:tc>
      </w:tr>
    </w:tbl>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17" w:top="1417" w:left="1260" w:right="1701" w:header="708"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Malgun Gothic"/>
  <w:font w:name="Courier New"/>
  <w:font w:name="Noto Sans Symbols">
    <w:embedRegular w:fontKey="{00000000-0000-0000-0000-000000000000}" r:id="rId1" w:subsetted="0"/>
    <w:embedBold w:fontKey="{00000000-0000-0000-0000-000000000000}" r:id="rId2" w:subsetted="0"/>
  </w:font>
  <w:font w:name="Bell M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75"/>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0200.0" w:type="dxa"/>
      <w:jc w:val="center"/>
      <w:tblLayout w:type="fixed"/>
      <w:tblLook w:val="0400"/>
    </w:tblPr>
    <w:tblGrid>
      <w:gridCol w:w="2625"/>
      <w:gridCol w:w="3135"/>
      <w:gridCol w:w="1050"/>
      <w:gridCol w:w="1545"/>
      <w:gridCol w:w="1845"/>
      <w:tblGridChange w:id="0">
        <w:tblGrid>
          <w:gridCol w:w="2625"/>
          <w:gridCol w:w="3135"/>
          <w:gridCol w:w="1050"/>
          <w:gridCol w:w="1545"/>
          <w:gridCol w:w="1845"/>
        </w:tblGrid>
      </w:tblGridChange>
    </w:tblGrid>
    <w:tr>
      <w:trPr>
        <w:cantSplit w:val="0"/>
        <w:trHeight w:val="518"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 w:right="0" w:firstLine="0"/>
            <w:jc w:val="left"/>
            <w:rPr>
              <w:rFonts w:ascii="Bell MT" w:cs="Bell MT" w:eastAsia="Bell MT" w:hAnsi="Bell MT"/>
              <w:b w:val="1"/>
              <w:bCs w:val="1"/>
              <w:i w:val="0"/>
              <w:iCs w:val="0"/>
              <w:smallCaps w:val="0"/>
              <w:strike w:val="0"/>
              <w:color w:val="000000"/>
              <w:sz w:val="28"/>
              <w:szCs w:val="28"/>
              <w:u w:val="none"/>
              <w:shd w:fill="auto" w:val="clear"/>
              <w:vertAlign w:val="baseline"/>
            </w:rPr>
          </w:pPr>
          <w:r w:rsidDel="00000000" w:rsidR="00000000" w:rsidRPr="00000000">
            <w:rPr>
              <w:rFonts w:ascii="Bell MT" w:cs="Bell MT" w:eastAsia="Bell MT" w:hAnsi="Bell MT"/>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Bell MT" w:cs="Bell MT" w:eastAsia="Bell MT" w:hAnsi="Bell MT"/>
              <w:b w:val="1"/>
              <w:bCs w:val="1"/>
              <w:i w:val="0"/>
              <w:iCs w:val="0"/>
              <w:smallCaps w:val="0"/>
              <w:strike w:val="0"/>
              <w:color w:val="ff0000"/>
              <w:sz w:val="28"/>
              <w:szCs w:val="28"/>
              <w:u w:val="none"/>
              <w:shd w:fill="auto" w:val="clear"/>
              <w:vertAlign w:val="baseline"/>
              <w:rtl w:val="0"/>
            </w:rPr>
            <w:t xml:space="preserve"> </w:t>
          </w:r>
          <w:r w:rsidDel="00000000" w:rsidR="00000000" w:rsidRPr="00000000">
            <w:rPr>
              <w:rFonts w:ascii="Malgun Gothic" w:cs="Malgun Gothic" w:eastAsia="Malgun Gothic" w:hAnsi="Malgun Gothic"/>
              <w:sz w:val="20"/>
              <w:szCs w:val="20"/>
            </w:rPr>
            <w:drawing>
              <wp:inline distB="0" distT="0" distL="0" distR="0">
                <wp:extent cx="1276350" cy="457200"/>
                <wp:effectExtent b="0" l="0" r="0" t="0"/>
                <wp:docPr id="19751153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6350" cy="4572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201295</wp:posOffset>
                </wp:positionH>
                <wp:positionV relativeFrom="paragraph">
                  <wp:posOffset>-954404</wp:posOffset>
                </wp:positionV>
                <wp:extent cx="1304925" cy="428625"/>
                <wp:effectExtent b="0" l="0" r="0" t="0"/>
                <wp:wrapTopAndBottom distB="0" distT="0"/>
                <wp:docPr id="19751152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304925" cy="428625"/>
                        </a:xfrm>
                        <a:prstGeom prst="rect"/>
                        <a:ln/>
                      </pic:spPr>
                    </pic:pic>
                  </a:graphicData>
                </a:graphic>
              </wp:anchor>
            </w:drawing>
          </w:r>
        </w:p>
      </w:tc>
      <w:tc>
        <w:tcPr>
          <w:vMerge w:val="restart"/>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PROCEDIMIENTO DE OPERACIÓN ESTÁNDAR</w:t>
          </w:r>
        </w:p>
      </w:tc>
      <w:tc>
        <w:tcPr>
          <w:gridSpan w:val="2"/>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Vigente desde: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Revisión:</w:t>
          </w:r>
        </w:p>
      </w:tc>
    </w:tr>
    <w:tr>
      <w:trPr>
        <w:cantSplit w:val="0"/>
        <w:trHeight w:val="517"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16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w:t>
          </w:r>
          <w:r w:rsidDel="00000000" w:rsidR="00000000" w:rsidRPr="00000000">
            <w:rPr>
              <w:sz w:val="24"/>
              <w:szCs w:val="24"/>
              <w:rtl w:val="0"/>
            </w:rPr>
            <w:t xml:space="preserve">6</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w:t>
          </w:r>
          <w:r w:rsidDel="00000000" w:rsidR="00000000" w:rsidRPr="00000000">
            <w:rPr>
              <w:sz w:val="24"/>
              <w:szCs w:val="24"/>
              <w:rtl w:val="0"/>
            </w:rPr>
            <w:t xml:space="preserve">1</w:t>
          </w:r>
          <w:r w:rsidDel="00000000" w:rsidR="00000000" w:rsidRPr="00000000">
            <w:rPr>
              <w:rtl w:val="0"/>
            </w:rPr>
          </w:r>
        </w:p>
      </w:tc>
    </w:tr>
    <w:tr>
      <w:trPr>
        <w:cantSplit w:val="0"/>
        <w:trHeight w:val="605"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bookmarkStart w:colFirst="0" w:colLast="0" w:name="_heading=h.2et92p0" w:id="2"/>
          <w:bookmarkEnd w:id="2"/>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Uso de licencias, certificados y marcas de conformidad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Código: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AGP</w:t>
          </w:r>
          <w:r w:rsidDel="00000000" w:rsidR="00000000" w:rsidRPr="00000000">
            <w:rPr>
              <w:sz w:val="24"/>
              <w:szCs w:val="24"/>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002</w:t>
          </w:r>
        </w:p>
      </w:tc>
    </w:tr>
    <w:tr>
      <w:trPr>
        <w:cantSplit w:val="0"/>
        <w:trHeight w:val="37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Página: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654" w:hanging="357.9999999999999"/>
      </w:pPr>
      <w:rPr>
        <w:rFonts w:ascii="Noto Sans Symbols" w:cs="Noto Sans Symbols" w:eastAsia="Noto Sans Symbols" w:hAnsi="Noto Sans Symbols"/>
      </w:rPr>
    </w:lvl>
    <w:lvl w:ilvl="1">
      <w:start w:val="1"/>
      <w:numFmt w:val="bullet"/>
      <w:lvlText w:val="o"/>
      <w:lvlJc w:val="left"/>
      <w:pPr>
        <w:ind w:left="1374" w:hanging="360"/>
      </w:pPr>
      <w:rPr>
        <w:rFonts w:ascii="Courier New" w:cs="Courier New" w:eastAsia="Courier New" w:hAnsi="Courier New"/>
      </w:rPr>
    </w:lvl>
    <w:lvl w:ilvl="2">
      <w:start w:val="1"/>
      <w:numFmt w:val="bullet"/>
      <w:lvlText w:val="▪"/>
      <w:lvlJc w:val="left"/>
      <w:pPr>
        <w:ind w:left="2094" w:hanging="360"/>
      </w:pPr>
      <w:rPr>
        <w:rFonts w:ascii="Noto Sans Symbols" w:cs="Noto Sans Symbols" w:eastAsia="Noto Sans Symbols" w:hAnsi="Noto Sans Symbols"/>
      </w:rPr>
    </w:lvl>
    <w:lvl w:ilvl="3">
      <w:start w:val="1"/>
      <w:numFmt w:val="bullet"/>
      <w:lvlText w:val="●"/>
      <w:lvlJc w:val="left"/>
      <w:pPr>
        <w:ind w:left="2814" w:hanging="360"/>
      </w:pPr>
      <w:rPr>
        <w:rFonts w:ascii="Noto Sans Symbols" w:cs="Noto Sans Symbols" w:eastAsia="Noto Sans Symbols" w:hAnsi="Noto Sans Symbols"/>
      </w:rPr>
    </w:lvl>
    <w:lvl w:ilvl="4">
      <w:start w:val="1"/>
      <w:numFmt w:val="bullet"/>
      <w:lvlText w:val="o"/>
      <w:lvlJc w:val="left"/>
      <w:pPr>
        <w:ind w:left="3534" w:hanging="360"/>
      </w:pPr>
      <w:rPr>
        <w:rFonts w:ascii="Courier New" w:cs="Courier New" w:eastAsia="Courier New" w:hAnsi="Courier New"/>
      </w:rPr>
    </w:lvl>
    <w:lvl w:ilvl="5">
      <w:start w:val="1"/>
      <w:numFmt w:val="bullet"/>
      <w:lvlText w:val="▪"/>
      <w:lvlJc w:val="left"/>
      <w:pPr>
        <w:ind w:left="4254" w:hanging="360"/>
      </w:pPr>
      <w:rPr>
        <w:rFonts w:ascii="Noto Sans Symbols" w:cs="Noto Sans Symbols" w:eastAsia="Noto Sans Symbols" w:hAnsi="Noto Sans Symbols"/>
      </w:rPr>
    </w:lvl>
    <w:lvl w:ilvl="6">
      <w:start w:val="1"/>
      <w:numFmt w:val="bullet"/>
      <w:lvlText w:val="●"/>
      <w:lvlJc w:val="left"/>
      <w:pPr>
        <w:ind w:left="4974" w:hanging="360"/>
      </w:pPr>
      <w:rPr>
        <w:rFonts w:ascii="Noto Sans Symbols" w:cs="Noto Sans Symbols" w:eastAsia="Noto Sans Symbols" w:hAnsi="Noto Sans Symbols"/>
      </w:rPr>
    </w:lvl>
    <w:lvl w:ilvl="7">
      <w:start w:val="1"/>
      <w:numFmt w:val="bullet"/>
      <w:lvlText w:val="o"/>
      <w:lvlJc w:val="left"/>
      <w:pPr>
        <w:ind w:left="5694" w:hanging="360"/>
      </w:pPr>
      <w:rPr>
        <w:rFonts w:ascii="Courier New" w:cs="Courier New" w:eastAsia="Courier New" w:hAnsi="Courier New"/>
      </w:rPr>
    </w:lvl>
    <w:lvl w:ilvl="8">
      <w:start w:val="1"/>
      <w:numFmt w:val="bullet"/>
      <w:lvlText w:val="▪"/>
      <w:lvlJc w:val="left"/>
      <w:pPr>
        <w:ind w:left="641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6.1.%1"/>
      <w:lvlJc w:val="left"/>
      <w:pPr>
        <w:ind w:left="29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6.2.%1"/>
      <w:lvlJc w:val="left"/>
      <w:pPr>
        <w:ind w:left="29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6"/>
      <w:numFmt w:val="decimal"/>
      <w:lvlText w:val="%1"/>
      <w:lvlJc w:val="left"/>
      <w:pPr>
        <w:ind w:left="360" w:hanging="360"/>
      </w:pPr>
      <w:rPr/>
    </w:lvl>
    <w:lvl w:ilvl="1">
      <w:start w:val="1"/>
      <w:numFmt w:val="decimal"/>
      <w:lvlText w:val="%1.%2"/>
      <w:lvlJc w:val="left"/>
      <w:pPr>
        <w:ind w:left="-66" w:hanging="360"/>
      </w:pPr>
      <w:rPr/>
    </w:lvl>
    <w:lvl w:ilvl="2">
      <w:start w:val="1"/>
      <w:numFmt w:val="decimal"/>
      <w:lvlText w:val="%1.%2.%3"/>
      <w:lvlJc w:val="left"/>
      <w:pPr>
        <w:ind w:left="-132" w:hanging="720"/>
      </w:pPr>
      <w:rPr/>
    </w:lvl>
    <w:lvl w:ilvl="3">
      <w:start w:val="1"/>
      <w:numFmt w:val="decimal"/>
      <w:lvlText w:val="%1.%2.%3.%4"/>
      <w:lvlJc w:val="left"/>
      <w:pPr>
        <w:ind w:left="-558" w:hanging="720"/>
      </w:pPr>
      <w:rPr/>
    </w:lvl>
    <w:lvl w:ilvl="4">
      <w:start w:val="1"/>
      <w:numFmt w:val="decimal"/>
      <w:lvlText w:val="%1.%2.%3.%4.%5"/>
      <w:lvlJc w:val="left"/>
      <w:pPr>
        <w:ind w:left="-624" w:hanging="1080"/>
      </w:pPr>
      <w:rPr/>
    </w:lvl>
    <w:lvl w:ilvl="5">
      <w:start w:val="1"/>
      <w:numFmt w:val="decimal"/>
      <w:lvlText w:val="%1.%2.%3.%4.%5.%6"/>
      <w:lvlJc w:val="left"/>
      <w:pPr>
        <w:ind w:left="-1050" w:hanging="1080"/>
      </w:pPr>
      <w:rPr/>
    </w:lvl>
    <w:lvl w:ilvl="6">
      <w:start w:val="1"/>
      <w:numFmt w:val="decimal"/>
      <w:lvlText w:val="%1.%2.%3.%4.%5.%6.%7"/>
      <w:lvlJc w:val="left"/>
      <w:pPr>
        <w:ind w:left="-1116" w:hanging="1440"/>
      </w:pPr>
      <w:rPr/>
    </w:lvl>
    <w:lvl w:ilvl="7">
      <w:start w:val="1"/>
      <w:numFmt w:val="decimal"/>
      <w:lvlText w:val="%1.%2.%3.%4.%5.%6.%7.%8"/>
      <w:lvlJc w:val="left"/>
      <w:pPr>
        <w:ind w:left="-1542" w:hanging="1440"/>
      </w:pPr>
      <w:rPr/>
    </w:lvl>
    <w:lvl w:ilvl="8">
      <w:start w:val="1"/>
      <w:numFmt w:val="decimal"/>
      <w:lvlText w:val="%1.%2.%3.%4.%5.%6.%7.%8.%9"/>
      <w:lvlJc w:val="left"/>
      <w:pPr>
        <w:ind w:left="-1608" w:hanging="1800"/>
      </w:pPr>
      <w:rPr/>
    </w:lvl>
  </w:abstractNum>
  <w:abstractNum w:abstractNumId="9">
    <w:lvl w:ilvl="0">
      <w:start w:val="6"/>
      <w:numFmt w:val="decimal"/>
      <w:lvlText w:val="%1"/>
      <w:lvlJc w:val="left"/>
      <w:pPr>
        <w:ind w:left="360" w:hanging="360"/>
      </w:pPr>
      <w:rPr/>
    </w:lvl>
    <w:lvl w:ilvl="1">
      <w:start w:val="2"/>
      <w:numFmt w:val="decimal"/>
      <w:lvlText w:val="%1.%2"/>
      <w:lvlJc w:val="left"/>
      <w:pPr>
        <w:ind w:left="-66" w:hanging="360"/>
      </w:pPr>
      <w:rPr/>
    </w:lvl>
    <w:lvl w:ilvl="2">
      <w:start w:val="1"/>
      <w:numFmt w:val="decimal"/>
      <w:lvlText w:val="%1.%2.%3"/>
      <w:lvlJc w:val="left"/>
      <w:pPr>
        <w:ind w:left="720" w:hanging="720"/>
      </w:pPr>
      <w:rPr/>
    </w:lvl>
    <w:lvl w:ilvl="3">
      <w:start w:val="1"/>
      <w:numFmt w:val="decimal"/>
      <w:lvlText w:val="%1.%2.%3.%4"/>
      <w:lvlJc w:val="left"/>
      <w:pPr>
        <w:ind w:left="-558" w:hanging="720"/>
      </w:pPr>
      <w:rPr/>
    </w:lvl>
    <w:lvl w:ilvl="4">
      <w:start w:val="1"/>
      <w:numFmt w:val="decimal"/>
      <w:lvlText w:val="%1.%2.%3.%4.%5"/>
      <w:lvlJc w:val="left"/>
      <w:pPr>
        <w:ind w:left="-624" w:hanging="1080"/>
      </w:pPr>
      <w:rPr/>
    </w:lvl>
    <w:lvl w:ilvl="5">
      <w:start w:val="1"/>
      <w:numFmt w:val="decimal"/>
      <w:lvlText w:val="%1.%2.%3.%4.%5.%6"/>
      <w:lvlJc w:val="left"/>
      <w:pPr>
        <w:ind w:left="-1050" w:hanging="1080"/>
      </w:pPr>
      <w:rPr/>
    </w:lvl>
    <w:lvl w:ilvl="6">
      <w:start w:val="1"/>
      <w:numFmt w:val="decimal"/>
      <w:lvlText w:val="%1.%2.%3.%4.%5.%6.%7"/>
      <w:lvlJc w:val="left"/>
      <w:pPr>
        <w:ind w:left="-1116" w:hanging="1440"/>
      </w:pPr>
      <w:rPr/>
    </w:lvl>
    <w:lvl w:ilvl="7">
      <w:start w:val="1"/>
      <w:numFmt w:val="decimal"/>
      <w:lvlText w:val="%1.%2.%3.%4.%5.%6.%7.%8"/>
      <w:lvlJc w:val="left"/>
      <w:pPr>
        <w:ind w:left="-1542" w:hanging="1440"/>
      </w:pPr>
      <w:rPr/>
    </w:lvl>
    <w:lvl w:ilvl="8">
      <w:start w:val="1"/>
      <w:numFmt w:val="decimal"/>
      <w:lvlText w:val="%1.%2.%3.%4.%5.%6.%7.%8.%9"/>
      <w:lvlJc w:val="left"/>
      <w:pPr>
        <w:ind w:left="-1608" w:hanging="1800"/>
      </w:pPr>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UY"/>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0" w:customStyle="1">
    <w:name w:val="Normal0"/>
    <w:qFormat w:val="1"/>
    <w:rsid w:val="0001423F"/>
  </w:style>
  <w:style w:type="paragraph" w:styleId="heading10" w:customStyle="1">
    <w:name w:val="heading 10"/>
    <w:basedOn w:val="Normal0"/>
    <w:link w:val="Ttulo1Car"/>
    <w:uiPriority w:val="9"/>
    <w:qFormat w:val="1"/>
    <w:rsid w:val="008A4067"/>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es-VE"/>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sz w:val="24"/>
      <w:szCs w:val="24"/>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10" w:customStyle="1">
    <w:name w:val="Table Normal10"/>
    <w:tblPr>
      <w:tblCellMar>
        <w:top w:w="0.0" w:type="dxa"/>
        <w:left w:w="0.0" w:type="dxa"/>
        <w:bottom w:w="0.0" w:type="dxa"/>
        <w:right w:w="0.0" w:type="dxa"/>
      </w:tblCellMar>
    </w:tblPr>
  </w:style>
  <w:style w:type="character" w:styleId="apple-converted-space" w:customStyle="1">
    <w:name w:val="apple-converted-space"/>
    <w:basedOn w:val="Fuentedeprrafopredeter"/>
    <w:rsid w:val="00550A6B"/>
  </w:style>
  <w:style w:type="table" w:styleId="Tablaconcuadrcula">
    <w:name w:val="Table Grid"/>
    <w:basedOn w:val="NormalTable0"/>
    <w:uiPriority w:val="39"/>
    <w:rsid w:val="00A205BA"/>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Textodeglobo">
    <w:name w:val="Balloon Text"/>
    <w:basedOn w:val="Normal0"/>
    <w:link w:val="TextodegloboCar"/>
    <w:uiPriority w:val="99"/>
    <w:semiHidden w:val="1"/>
    <w:unhideWhenUsed w:val="1"/>
    <w:rsid w:val="007B08B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B08B9"/>
    <w:rPr>
      <w:rFonts w:ascii="Tahoma" w:cs="Tahoma" w:hAnsi="Tahoma"/>
      <w:sz w:val="16"/>
      <w:szCs w:val="16"/>
    </w:rPr>
  </w:style>
  <w:style w:type="character" w:styleId="Ttulo1Car" w:customStyle="1">
    <w:name w:val="Título 1 Car"/>
    <w:basedOn w:val="Fuentedeprrafopredeter"/>
    <w:link w:val="heading10"/>
    <w:uiPriority w:val="9"/>
    <w:rsid w:val="008A4067"/>
    <w:rPr>
      <w:rFonts w:ascii="Times New Roman" w:cs="Times New Roman" w:eastAsia="Times New Roman" w:hAnsi="Times New Roman"/>
      <w:b w:val="1"/>
      <w:bCs w:val="1"/>
      <w:kern w:val="36"/>
      <w:sz w:val="48"/>
      <w:szCs w:val="48"/>
      <w:lang w:eastAsia="es-VE"/>
    </w:rPr>
  </w:style>
  <w:style w:type="character" w:styleId="prezi-description" w:customStyle="1">
    <w:name w:val="prezi-description"/>
    <w:basedOn w:val="Fuentedeprrafopredeter"/>
    <w:rsid w:val="008A4067"/>
  </w:style>
  <w:style w:type="character" w:styleId="Hipervnculo">
    <w:name w:val="Hyperlink"/>
    <w:basedOn w:val="Fuentedeprrafopredeter"/>
    <w:uiPriority w:val="99"/>
    <w:unhideWhenUsed w:val="1"/>
    <w:rsid w:val="00533FC1"/>
    <w:rPr>
      <w:color w:val="0000ff" w:themeColor="hyperlink"/>
      <w:u w:val="single"/>
    </w:rPr>
  </w:style>
  <w:style w:type="paragraph" w:styleId="Encabezado">
    <w:name w:val="header"/>
    <w:basedOn w:val="Normal0"/>
    <w:link w:val="EncabezadoCar"/>
    <w:uiPriority w:val="99"/>
    <w:unhideWhenUsed w:val="1"/>
    <w:rsid w:val="007C658C"/>
    <w:pPr>
      <w:tabs>
        <w:tab w:val="center" w:pos="4513"/>
        <w:tab w:val="right" w:pos="9026"/>
      </w:tabs>
      <w:spacing w:after="0" w:line="240" w:lineRule="auto"/>
    </w:pPr>
  </w:style>
  <w:style w:type="character" w:styleId="EncabezadoCar" w:customStyle="1">
    <w:name w:val="Encabezado Car"/>
    <w:basedOn w:val="Fuentedeprrafopredeter"/>
    <w:link w:val="Encabezado"/>
    <w:uiPriority w:val="99"/>
    <w:rsid w:val="007C658C"/>
  </w:style>
  <w:style w:type="paragraph" w:styleId="Piedepgina">
    <w:name w:val="footer"/>
    <w:basedOn w:val="Normal0"/>
    <w:link w:val="PiedepginaCar"/>
    <w:uiPriority w:val="99"/>
    <w:unhideWhenUsed w:val="1"/>
    <w:rsid w:val="007C658C"/>
    <w:pPr>
      <w:tabs>
        <w:tab w:val="center" w:pos="4513"/>
        <w:tab w:val="right" w:pos="9026"/>
      </w:tabs>
      <w:spacing w:after="0" w:line="240" w:lineRule="auto"/>
    </w:pPr>
  </w:style>
  <w:style w:type="character" w:styleId="PiedepginaCar" w:customStyle="1">
    <w:name w:val="Pie de página Car"/>
    <w:basedOn w:val="Fuentedeprrafopredeter"/>
    <w:link w:val="Piedepgina"/>
    <w:uiPriority w:val="99"/>
    <w:rsid w:val="007C658C"/>
  </w:style>
  <w:style w:type="paragraph" w:styleId="Prrafodelista">
    <w:name w:val="List Paragraph"/>
    <w:basedOn w:val="Normal0"/>
    <w:uiPriority w:val="34"/>
    <w:qFormat w:val="1"/>
    <w:rsid w:val="007C658C"/>
    <w:pPr>
      <w:ind w:left="720"/>
      <w:contextualSpacing w:val="1"/>
    </w:pPr>
  </w:style>
  <w:style w:type="table" w:styleId="TableGridLight1" w:customStyle="1">
    <w:name w:val="Table Grid Light1"/>
    <w:basedOn w:val="NormalTable0"/>
    <w:uiPriority w:val="40"/>
    <w:rsid w:val="00CF7F09"/>
    <w:pPr>
      <w:spacing w:after="0" w:line="240" w:lineRule="auto"/>
    </w:pPr>
    <w:rPr>
      <w:lang w:val="en-GB"/>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Textoindependiente">
    <w:name w:val="Body Text"/>
    <w:basedOn w:val="Normal0"/>
    <w:link w:val="TextoindependienteCar"/>
    <w:uiPriority w:val="99"/>
    <w:rsid w:val="007E4322"/>
    <w:pPr>
      <w:suppressAutoHyphens w:val="1"/>
      <w:spacing w:after="0" w:line="240" w:lineRule="auto"/>
      <w:jc w:val="both"/>
    </w:pPr>
    <w:rPr>
      <w:rFonts w:ascii="Times New Roman" w:cs="Times New Roman" w:eastAsia="Times New Roman" w:hAnsi="Times New Roman"/>
      <w:sz w:val="20"/>
      <w:szCs w:val="20"/>
      <w:lang w:eastAsia="ar-SA" w:val="es-ES"/>
    </w:rPr>
  </w:style>
  <w:style w:type="character" w:styleId="TextoindependienteCar" w:customStyle="1">
    <w:name w:val="Texto independiente Car"/>
    <w:basedOn w:val="Fuentedeprrafopredeter"/>
    <w:link w:val="Textoindependiente"/>
    <w:uiPriority w:val="99"/>
    <w:rsid w:val="007E4322"/>
    <w:rPr>
      <w:rFonts w:ascii="Times New Roman" w:cs="Times New Roman" w:eastAsia="Times New Roman" w:hAnsi="Times New Roman"/>
      <w:sz w:val="20"/>
      <w:szCs w:val="20"/>
      <w:lang w:eastAsia="ar-SA" w:val="es-ES"/>
    </w:rPr>
  </w:style>
  <w:style w:type="table" w:styleId="a" w:customStyle="1">
    <w:basedOn w:val="TableNormal10"/>
    <w:pPr>
      <w:spacing w:after="0" w:line="240" w:lineRule="auto"/>
    </w:pPr>
    <w:tblPr>
      <w:tblStyleRowBandSize w:val="1"/>
      <w:tblStyleColBandSize w:val="1"/>
      <w:tblCellMar>
        <w:left w:w="108.0" w:type="dxa"/>
        <w:right w:w="108.0" w:type="dxa"/>
      </w:tblCellMar>
    </w:tblPr>
  </w:style>
  <w:style w:type="table" w:styleId="a0" w:customStyle="1">
    <w:basedOn w:val="TableNormal10"/>
    <w:pPr>
      <w:spacing w:after="0" w:line="240" w:lineRule="auto"/>
    </w:pPr>
    <w:tblPr>
      <w:tblStyleRowBandSize w:val="1"/>
      <w:tblStyleColBandSize w:val="1"/>
      <w:tblCellMar>
        <w:left w:w="108.0" w:type="dxa"/>
        <w:right w:w="108.0" w:type="dxa"/>
      </w:tblCellMar>
    </w:tblPr>
  </w:style>
  <w:style w:type="table" w:styleId="a1" w:customStyle="1">
    <w:basedOn w:val="TableNormal10"/>
    <w:tblPr>
      <w:tblStyleRowBandSize w:val="1"/>
      <w:tblStyleColBandSize w:val="1"/>
      <w:tblCellMar>
        <w:top w:w="15.0" w:type="dxa"/>
        <w:left w:w="15.0" w:type="dxa"/>
        <w:bottom w:w="15.0" w:type="dxa"/>
        <w:right w:w="15.0" w:type="dxa"/>
      </w:tblCellMar>
    </w:tblPr>
  </w:style>
  <w:style w:type="table" w:styleId="a2" w:customStyle="1">
    <w:basedOn w:val="TableNormal10"/>
    <w:pPr>
      <w:spacing w:after="0" w:line="240" w:lineRule="auto"/>
    </w:pPr>
    <w:tblPr>
      <w:tblStyleRowBandSize w:val="1"/>
      <w:tblStyleColBandSize w:val="1"/>
      <w:tblCellMar>
        <w:left w:w="108.0" w:type="dxa"/>
        <w:right w:w="108.0" w:type="dxa"/>
      </w:tblCellMar>
    </w:tblPr>
  </w:style>
  <w:style w:type="paragraph" w:styleId="Textocomentario">
    <w:name w:val="annotation text"/>
    <w:basedOn w:val="Normal0"/>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table" w:styleId="a3" w:customStyle="1">
    <w:basedOn w:val="TableNormal10"/>
    <w:tblPr>
      <w:tblStyleRowBandSize w:val="1"/>
      <w:tblStyleColBandSize w:val="1"/>
      <w:tblCellMar>
        <w:left w:w="115.0" w:type="dxa"/>
        <w:right w:w="115.0" w:type="dxa"/>
      </w:tblCellMar>
    </w:tblPr>
  </w:style>
  <w:style w:type="table" w:styleId="a4" w:customStyle="1">
    <w:basedOn w:val="TableNormal10"/>
    <w:pPr>
      <w:spacing w:after="0" w:line="240" w:lineRule="auto"/>
    </w:pPr>
    <w:tblPr>
      <w:tblStyleRowBandSize w:val="1"/>
      <w:tblStyleColBandSize w:val="1"/>
      <w:tblCellMar>
        <w:top w:w="15.0" w:type="dxa"/>
        <w:left w:w="108.0" w:type="dxa"/>
        <w:bottom w:w="15.0" w:type="dxa"/>
        <w:right w:w="108.0" w:type="dxa"/>
      </w:tblCellMar>
    </w:tblPr>
  </w:style>
  <w:style w:type="table" w:styleId="a5" w:customStyle="1">
    <w:basedOn w:val="TableNormal10"/>
    <w:pPr>
      <w:spacing w:after="0" w:line="240" w:lineRule="auto"/>
    </w:pPr>
    <w:tblPr>
      <w:tblStyleRowBandSize w:val="1"/>
      <w:tblStyleColBandSize w:val="1"/>
      <w:tblCellMar>
        <w:top w:w="15.0" w:type="dxa"/>
        <w:left w:w="108.0" w:type="dxa"/>
        <w:bottom w:w="15.0" w:type="dxa"/>
        <w:right w:w="108.0" w:type="dxa"/>
      </w:tblCellMar>
    </w:tblPr>
  </w:style>
  <w:style w:type="table" w:styleId="a6" w:customStyle="1">
    <w:basedOn w:val="TableNormal10"/>
    <w:pPr>
      <w:spacing w:after="0" w:line="240" w:lineRule="auto"/>
    </w:pPr>
    <w:tblPr>
      <w:tblStyleRowBandSize w:val="1"/>
      <w:tblStyleColBandSize w:val="1"/>
      <w:tblCellMar>
        <w:top w:w="15.0" w:type="dxa"/>
        <w:left w:w="108.0" w:type="dxa"/>
        <w:bottom w:w="15.0" w:type="dxa"/>
        <w:right w:w="108.0" w:type="dxa"/>
      </w:tblCellMar>
    </w:tblPr>
  </w:style>
  <w:style w:type="paragraph" w:styleId="Sangradetextonormal">
    <w:name w:val="Body Text Indent"/>
    <w:basedOn w:val="Normal0"/>
    <w:link w:val="SangradetextonormalCar"/>
    <w:uiPriority w:val="99"/>
    <w:unhideWhenUsed w:val="1"/>
    <w:rsid w:val="005A4844"/>
    <w:pPr>
      <w:spacing w:after="120"/>
      <w:ind w:left="283"/>
    </w:pPr>
  </w:style>
  <w:style w:type="character" w:styleId="SangradetextonormalCar" w:customStyle="1">
    <w:name w:val="Sangría de texto normal Car"/>
    <w:basedOn w:val="Fuentedeprrafopredeter"/>
    <w:link w:val="Sangradetextonormal"/>
    <w:uiPriority w:val="99"/>
    <w:rsid w:val="005A4844"/>
  </w:style>
  <w:style w:type="paragraph" w:styleId="Prrafodelista1" w:customStyle="1">
    <w:name w:val="Párrafo de lista1"/>
    <w:basedOn w:val="Normal0"/>
    <w:rsid w:val="00332541"/>
    <w:pPr>
      <w:suppressAutoHyphens w:val="1"/>
      <w:spacing w:line="240" w:lineRule="auto"/>
      <w:ind w:left="720"/>
      <w:contextualSpacing w:val="1"/>
    </w:pPr>
    <w:rPr>
      <w:rFonts w:ascii="Liberation Serif" w:cs="Lucida Sans" w:eastAsia="SimSun" w:hAnsi="Liberation Serif"/>
      <w:kern w:val="2"/>
      <w:sz w:val="24"/>
      <w:szCs w:val="24"/>
      <w:lang w:bidi="hi-IN" w:eastAsia="zh-CN"/>
    </w:rPr>
  </w:style>
  <w:style w:type="table" w:styleId="a7"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8"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9"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a"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paragraph" w:styleId="Revisin">
    <w:name w:val="Revision"/>
    <w:hidden w:val="1"/>
    <w:uiPriority w:val="99"/>
    <w:semiHidden w:val="1"/>
    <w:rsid w:val="003805FA"/>
    <w:pPr>
      <w:spacing w:after="0" w:line="240" w:lineRule="auto"/>
    </w:pPr>
  </w:style>
  <w:style w:type="table" w:styleId="ab"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c"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d"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table" w:styleId="ae" w:customStyle="1">
    <w:basedOn w:val="TableNormal1"/>
    <w:pPr>
      <w:spacing w:after="0" w:line="240" w:lineRule="auto"/>
    </w:pPr>
    <w:tblPr>
      <w:tblStyleRowBandSize w:val="1"/>
      <w:tblStyleColBandSize w:val="1"/>
      <w:tblCellMar>
        <w:top w:w="15.0" w:type="dxa"/>
        <w:left w:w="108.0" w:type="dxa"/>
        <w:bottom w:w="15.0" w:type="dxa"/>
        <w:right w:w="108.0" w:type="dxa"/>
      </w:tblCellMar>
    </w:tblPr>
  </w:style>
  <w:style w:type="paragraph" w:styleId="NormalWeb">
    <w:name w:val="Normal (Web)"/>
    <w:basedOn w:val="Normal0"/>
    <w:uiPriority w:val="99"/>
    <w:semiHidden w:val="1"/>
    <w:unhideWhenUsed w:val="1"/>
    <w:rsid w:val="00D654CE"/>
    <w:pPr>
      <w:spacing w:after="100" w:afterAutospacing="1" w:before="100" w:beforeAutospacing="1" w:line="240" w:lineRule="auto"/>
    </w:pPr>
    <w:rPr>
      <w:rFonts w:ascii="Times New Roman" w:cs="Times New Roman" w:eastAsia="Times New Roman" w:hAnsi="Times New Roman"/>
      <w:sz w:val="24"/>
      <w:szCs w:val="24"/>
    </w:rPr>
  </w:style>
  <w:style w:type="table" w:styleId="af" w:customStyle="1">
    <w:basedOn w:val="TableNormal0"/>
    <w:pPr>
      <w:spacing w:after="0" w:line="240" w:lineRule="auto"/>
    </w:pPr>
    <w:tblPr>
      <w:tblStyleRowBandSize w:val="1"/>
      <w:tblStyleColBandSize w:val="1"/>
      <w:tblCellMar>
        <w:top w:w="15.0" w:type="dxa"/>
        <w:left w:w="108.0" w:type="dxa"/>
        <w:bottom w:w="15.0" w:type="dxa"/>
        <w:right w:w="108.0" w:type="dxa"/>
      </w:tblCellMar>
    </w:tblPr>
  </w:style>
  <w:style w:type="table" w:styleId="af0" w:customStyle="1">
    <w:basedOn w:val="TableNormal0"/>
    <w:pPr>
      <w:spacing w:after="0" w:line="240" w:lineRule="auto"/>
    </w:pPr>
    <w:tblPr>
      <w:tblStyleRowBandSize w:val="1"/>
      <w:tblStyleColBandSize w:val="1"/>
      <w:tblCellMar>
        <w:top w:w="15.0" w:type="dxa"/>
        <w:left w:w="108.0" w:type="dxa"/>
        <w:bottom w:w="15.0" w:type="dxa"/>
        <w:right w:w="108.0" w:type="dxa"/>
      </w:tblCellMar>
    </w:tblPr>
  </w:style>
  <w:style w:type="table" w:styleId="af1" w:customStyle="1">
    <w:basedOn w:val="TableNormal0"/>
    <w:pPr>
      <w:spacing w:after="0" w:line="240" w:lineRule="auto"/>
    </w:pPr>
    <w:tblPr>
      <w:tblStyleRowBandSize w:val="1"/>
      <w:tblStyleColBandSize w:val="1"/>
      <w:tblCellMar>
        <w:top w:w="15.0" w:type="dxa"/>
        <w:left w:w="108.0" w:type="dxa"/>
        <w:bottom w:w="15.0" w:type="dxa"/>
        <w:right w:w="108.0" w:type="dxa"/>
      </w:tblCellMar>
    </w:tblPr>
  </w:style>
  <w:style w:type="table" w:styleId="af2" w:customStyle="1">
    <w:basedOn w:val="TableNormal0"/>
    <w:pPr>
      <w:spacing w:after="0" w:line="240" w:lineRule="auto"/>
    </w:pPr>
    <w:tblPr>
      <w:tblStyleRowBandSize w:val="1"/>
      <w:tblStyleColBandSize w:val="1"/>
      <w:tblCellMar>
        <w:top w:w="15.0" w:type="dxa"/>
        <w:left w:w="108.0" w:type="dxa"/>
        <w:bottom w:w="15.0" w:type="dxa"/>
        <w:right w:w="108.0" w:type="dxa"/>
      </w:tblCellMar>
    </w:tbl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table" w:styleId="af3" w:customStyle="1">
    <w:basedOn w:val="TableNormal"/>
    <w:pPr>
      <w:spacing w:after="0" w:line="240" w:lineRule="auto"/>
    </w:pPr>
    <w:tblPr>
      <w:tblStyleRowBandSize w:val="1"/>
      <w:tblStyleColBandSize w:val="1"/>
      <w:tblCellMar>
        <w:top w:w="15.0" w:type="dxa"/>
        <w:left w:w="108.0" w:type="dxa"/>
        <w:bottom w:w="15.0" w:type="dxa"/>
        <w:right w:w="108.0" w:type="dxa"/>
      </w:tblCellMar>
    </w:tblPr>
  </w:style>
  <w:style w:type="table" w:styleId="af4" w:customStyle="1">
    <w:basedOn w:val="TableNormal"/>
    <w:pPr>
      <w:spacing w:after="0" w:line="240" w:lineRule="auto"/>
    </w:pPr>
    <w:tblPr>
      <w:tblStyleRowBandSize w:val="1"/>
      <w:tblStyleColBandSize w:val="1"/>
      <w:tblCellMar>
        <w:top w:w="15.0" w:type="dxa"/>
        <w:left w:w="108.0" w:type="dxa"/>
        <w:bottom w:w="15.0" w:type="dxa"/>
        <w:right w:w="108.0" w:type="dxa"/>
      </w:tblCellMar>
    </w:tblPr>
  </w:style>
  <w:style w:type="table" w:styleId="af5" w:customStyle="1">
    <w:basedOn w:val="TableNormal"/>
    <w:pPr>
      <w:spacing w:after="0" w:line="240" w:lineRule="auto"/>
    </w:pPr>
    <w:tblPr>
      <w:tblStyleRowBandSize w:val="1"/>
      <w:tblStyleColBandSize w:val="1"/>
      <w:tblCellMar>
        <w:top w:w="15.0" w:type="dxa"/>
        <w:left w:w="108.0" w:type="dxa"/>
        <w:bottom w:w="15.0" w:type="dxa"/>
        <w:right w:w="108.0" w:type="dxa"/>
      </w:tblCellMar>
    </w:tblPr>
  </w:style>
  <w:style w:type="table" w:styleId="af6" w:customStyle="1">
    <w:basedOn w:val="TableNormal"/>
    <w:pPr>
      <w:spacing w:after="0" w:line="240" w:lineRule="auto"/>
    </w:pPr>
    <w:tblPr>
      <w:tblStyleRowBandSize w:val="1"/>
      <w:tblStyleColBandSize w:val="1"/>
      <w:tblCellMar>
        <w:top w:w="15.0" w:type="dxa"/>
        <w:left w:w="108.0" w:type="dxa"/>
        <w:bottom w:w="15.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15.0" w:type="dxa"/>
        <w:left w:w="108.0" w:type="dxa"/>
        <w:bottom w:w="15.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BellMT-regular.ttf"/><Relationship Id="rId4" Type="http://schemas.openxmlformats.org/officeDocument/2006/relationships/font" Target="fonts/BellMT-bold.ttf"/><Relationship Id="rId5" Type="http://schemas.openxmlformats.org/officeDocument/2006/relationships/font" Target="fonts/BellMT-italic.ttf"/><Relationship Id="rId6" Type="http://schemas.openxmlformats.org/officeDocument/2006/relationships/font" Target="fonts/BellMT-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WgBvhY5BzEWwuOXtqjDuFVEcg==">CgMxLjAyCWguMzBqMHpsbDIJaC4zem55c2g3MgloLjJldDkycDA4AHIhMWRzLUI3VUVaOVBWNlV4WmowcExHdmFTcnFvUE1Bbk4y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2025-07-11T17:39:00Z</dcterms:created>
  <dc:creator>Hernán Romero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0x010100AD1DBB1E884E6546A2A74370BE55AA05</vt:lpwstr>
  </property>
</Properties>
</file>