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1.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procedimiento establece los lineamientos operativos y de conducta para la prestación de servicios de certificación de producto realizados p</w:t>
      </w:r>
      <w:r w:rsidDel="00000000" w:rsidR="00000000" w:rsidRPr="00000000">
        <w:rPr>
          <w:sz w:val="24"/>
          <w:szCs w:val="24"/>
          <w:rtl w:val="0"/>
        </w:rPr>
        <w:t xml:space="preserve">or AMSPEC, confo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ISO/IEC 17065 (Requisitos para organismos que certifican productos).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RTRS y otros esquemas gestionados por Amspec.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del Organismo Argentino de Acreditación (OAA).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mantiene la responsabilidad total sobre la decisión de certificación, incluso cuando utilice auditores o especialistas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2. Alcance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procedimiento aplica a todas las actividades de certificación de productos desarrolladas por Amspec, incluyendo: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Auditorías iniciales, de vigilancia, recertificación y extraordinarias.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Certificación RTRS u otros esquemas administrados por Amspec.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Actividades realizadas directamente o por personal subcontratado.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Incluye la gestión, revisión, otorgamiento, mantenimiento, suspensión, ampliación, reducción y retiro de la certificación.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3. Confidencialidad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garantiza la confidencialidad de toda la información obtenida durante el proceso de certificación.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será revelada a terceros cuando: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exija la ley.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requiera el organismo de acreditación como parte del proceso de acreditación.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cliente autorice por escrito su divulgación.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mantiene un registro público de certificados vigentes, suspendidos o retirados.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4. Estructura Organizacional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mantiene un organigrama actualizado que describe funciones y responsabilidades relacionadas con la certificación de producto.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 organigrama y documentación legal pueden ponerse a disposición de las partes interesadas cuando se solicite.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5. Solicitud de Certificación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cliente completa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Solicitud de Certificación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Amspec revisa la solicitud y envía una propuesta comercial que incluye: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 del servicio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Costos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Tiempos estimados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 la aceptación del cliente, se asigna </w:t>
      </w:r>
      <w:r w:rsidDel="00000000" w:rsidR="00000000" w:rsidRPr="00000000">
        <w:rPr>
          <w:sz w:val="24"/>
          <w:szCs w:val="24"/>
          <w:rtl w:val="0"/>
        </w:rPr>
        <w:t xml:space="preserve">el equipo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inicia el proceso conforme a los procedimientos internos de Amspec.</w:t>
      </w:r>
    </w:p>
    <w:p w:rsidR="00000000" w:rsidDel="00000000" w:rsidP="00000000" w:rsidRDefault="00000000" w:rsidRPr="00000000" w14:paraId="0000001E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6. Obligaciones del Organismo de Certificación (Amspec)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se compromete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Facilitar el acceso a la certificación a todos los solicitantes cuyo alcance esté cubierto por Amspec.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b) Limitar su evaluación únicamente a requisitos del estándar aplicable.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c) Notificar al cliente cualquier divulgación obligatoria de información confidencial.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d) Garantizar imparcialidad en todas las actividades de certificación.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e) Informar al client</w:t>
      </w:r>
      <w:r w:rsidDel="00000000" w:rsidR="00000000" w:rsidRPr="00000000">
        <w:rPr>
          <w:sz w:val="24"/>
          <w:szCs w:val="24"/>
          <w:rtl w:val="0"/>
        </w:rPr>
        <w:t xml:space="preserve">e cuando existan nuevos requisitos del esquema (RTRS, Organismo de Acreditación, etc.).</w:t>
        <w:br w:type="textWrapping"/>
        <w:t xml:space="preserve"> f) Informar sobre los aspectos que no cumplen con la certificación cuando corresponda.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g)I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nformar a RTRS la recepción y cierre de reclamos y apelaciones asociados a la certificación.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7. Obligaciones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deberá: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Proporcionar información y documentación necesaria para planificar y ejecutar la auditoría.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b) Garantizar acceso a instalaciones, áreas de trabajo, documentos, procesos y personal.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c) Gestionar quejas relacionadas al producto certificado y mantener registros.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d) Mantener la conformidad del producto certificado durante todo el ciclo.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e) Dar respuesta a no conformidades en los plazos establecidos.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f) Utilizar la certificación solo para el alcance otorgado.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g) Informar sin demora incidentes graves o incumplimientos regulatorios.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h) Suspender el uso de la certificación cuando Amspec lo indique.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i) Permitir observadores (O</w:t>
      </w:r>
      <w:r w:rsidDel="00000000" w:rsidR="00000000" w:rsidRPr="00000000">
        <w:rPr>
          <w:sz w:val="24"/>
          <w:szCs w:val="24"/>
          <w:rtl w:val="0"/>
        </w:rPr>
        <w:t xml:space="preserve">rganismo de Acreditación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auditores en formación, etc.) cuando sea solicitado.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j) Informar a AmSpec la recepción de reclamos y apelaciones relacionados con la certificación, cuando corresponda.</w:t>
      </w:r>
    </w:p>
    <w:p w:rsidR="00000000" w:rsidDel="00000000" w:rsidP="00000000" w:rsidRDefault="00000000" w:rsidRPr="00000000" w14:paraId="00000024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8. Emisión del certificado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emitirá un certificado cuando el cliente demuestre el cumplimiento total de los requisitos del esquema.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certificado: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propiedad de Amspec.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Puede reproducirse solo si se identifica como “copia”.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Tiene validez hasta la fecha indicada, siempre que se mantenga la conformidad.</w:t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puede condicionar la entrega del certificado al pago total del servicio.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9. Uso de marcas de certificación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podrá utilizar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Marca de Certificación de Amspec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acuerdo 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Política de Uso de Marca de Certificación de Amspec vigente.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-720"/>
        </w:tabs>
        <w:spacing w:after="0" w:lin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Procedimiento sobre Uso del Logotipo y Declaraciones RTRS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Reglas de uso del organismo de acreditación, cuando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uso indebido constituye una no conformidad </w:t>
      </w:r>
      <w:r w:rsidDel="00000000" w:rsidR="00000000" w:rsidRPr="00000000">
        <w:rPr>
          <w:sz w:val="24"/>
          <w:szCs w:val="24"/>
          <w:rtl w:val="0"/>
        </w:rPr>
        <w:t xml:space="preserve">mayor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puede derivar en suspensión o retiro del certificado.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10. Vigilancia</w:t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realizarán auditorías de vigilancia según el esquema de certificación.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debe: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Permitir acceso total para verificaciones.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sz w:val="24"/>
          <w:szCs w:val="24"/>
          <w:rtl w:val="0"/>
        </w:rPr>
        <w:t xml:space="preserve">antener </w:t>
      </w:r>
      <w:r w:rsidDel="00000000" w:rsidR="00000000" w:rsidRPr="00000000">
        <w:rPr>
          <w:sz w:val="24"/>
          <w:szCs w:val="24"/>
          <w:rtl w:val="0"/>
        </w:rPr>
        <w:t xml:space="preserve">todos los registros asociados a RTRS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las observaciones emitidas por Amspec.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puede realizar visitas extraordinarias cuando existan riesgos o eventos relevantes.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11. Recertificación</w:t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debe solicitar recertificación antes del vencimiento del certificado.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informará los requisitos del proceso durante la auditoría previa al vencimiento; sin embargo, la responsabilidad final es del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12. Ampliación del alcance</w:t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Cuando un cliente desee ampliar su certificado: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presentar una nueva solicitud.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evalúan los nuevos procesos/productos.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emite un nuevo certificado con el alcance ampliado, si corresponde.</w:t>
      </w:r>
    </w:p>
    <w:p w:rsidR="00000000" w:rsidDel="00000000" w:rsidP="00000000" w:rsidRDefault="00000000" w:rsidRPr="00000000" w14:paraId="0000003E">
      <w:pPr>
        <w:pStyle w:val="Heading2"/>
        <w:spacing w:after="299" w:before="299" w:line="240" w:lineRule="auto"/>
        <w:jc w:val="lef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13. Modificaciones que puedan afectar la certificación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cliente deberá informar sin demora cualquier modificación que pueda afectar el alcance, la validez o el cumplimiento de los requisitos de certificación, incluyendo pero no limitándose a: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Procesos de producción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Productos y alcance de certificación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Instalaciones y sitios operativos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Sistema de gestión y trazabilidad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Situaciones regulatorias o legales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Cambios en superficie o áreas certificadas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Ingreso o salida de miembros/sitios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Cambios en la estructura organizacional o legal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Cambios en personal clave del sistema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Incorporación de actividades tercerizadas o proveedores críticos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Incidentes ambientales, sociales o legales relevantes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organismo de certificación evaluará el impacto de dichos cambios y podrá requerir auditorías adicionales, modificaciones del alcance, suspensión o retiro de la certificación.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no informar cambios puede derivar en suspensión.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14. Publicidad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podrá comunicar la certificación siempre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información sea veraz.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induzca a confusión.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limite estrictamente al alcance certificado.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Cumpla con las reglas de uso de marca de Amspec.</w:t>
      </w:r>
    </w:p>
    <w:p w:rsidR="00000000" w:rsidDel="00000000" w:rsidP="00000000" w:rsidRDefault="00000000" w:rsidRPr="00000000" w14:paraId="00000053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15. Mal uso de certificados o marcas</w:t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tomará acciones ante usos inadecuados, incluyendo: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Solicitar correcciones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Exigir retracción pública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Suspender o retirar el certificado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 acciones legales</w:t>
      </w:r>
    </w:p>
    <w:p w:rsidR="00000000" w:rsidDel="00000000" w:rsidP="00000000" w:rsidRDefault="00000000" w:rsidRPr="00000000" w14:paraId="00000059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16. </w:t>
      </w:r>
      <w:r w:rsidDel="00000000" w:rsidR="00000000" w:rsidRPr="00000000">
        <w:rPr>
          <w:rtl w:val="0"/>
        </w:rPr>
        <w:t xml:space="preserve">Suspensión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del certificado</w:t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Puede suspenderse cuando: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No se implementen acciones correctivas en tiempo y forma.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b) Exista mal uso continuo de la marca o certificación.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c) El cliente incumpla obligaciones contractuales.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d) No se realicen auditorías dentro de los plazos.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la suspensión el cliente: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podrá usar la certificación ni su marca.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podrá hacer declaraciones vinculadas a la certificación.</w:t>
      </w:r>
    </w:p>
    <w:p w:rsidR="00000000" w:rsidDel="00000000" w:rsidP="00000000" w:rsidRDefault="00000000" w:rsidRPr="00000000" w14:paraId="0000005F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17. Retiro del certificado</w:t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certificado puede retirarse 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corrigen incumplimientos tras una suspensión.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finaliza el contrato.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Existen no conformidades </w:t>
      </w:r>
      <w:r w:rsidDel="00000000" w:rsidR="00000000" w:rsidRPr="00000000">
        <w:rPr>
          <w:sz w:val="24"/>
          <w:szCs w:val="24"/>
          <w:rtl w:val="0"/>
        </w:rPr>
        <w:t xml:space="preserve">mayore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sin resolver.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permite el acceso a auditoría.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realizan los pagos acordados.</w:t>
      </w:r>
    </w:p>
    <w:p w:rsidR="00000000" w:rsidDel="00000000" w:rsidP="00000000" w:rsidRDefault="00000000" w:rsidRPr="00000000" w14:paraId="00000066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caso de retiro, Amspec informará al cliente y actualizará los registros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18. Reconocimiento de certificaciones de otros organismos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podrá reconocer certificaciones de otros organismos acreditados cuando ello no afecte la integridad del proceso ni del esquema.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spacing w:after="299" w:before="299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19. Apelaciones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24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cliente puede apelar cualquier decisión de Amspec</w:t>
      </w:r>
      <w:r w:rsidDel="00000000" w:rsidR="00000000" w:rsidRPr="00000000">
        <w:rPr>
          <w:sz w:val="24"/>
          <w:szCs w:val="24"/>
          <w:rtl w:val="0"/>
        </w:rPr>
        <w:t xml:space="preserve">, debiendo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presentar la apelación por escrito a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manuela.azcuaga@amspegroup.com</w:t>
        </w:r>
      </w:hyperlink>
      <w:r w:rsidDel="00000000" w:rsidR="00000000" w:rsidRPr="00000000">
        <w:rPr>
          <w:sz w:val="24"/>
          <w:szCs w:val="24"/>
          <w:rtl w:val="0"/>
        </w:rPr>
        <w:t xml:space="preserve"> 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por la página web de Amspec.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El coordinador técnico comercial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revisará el caso y, si es necesario, convocará </w:t>
      </w:r>
      <w:r w:rsidDel="00000000" w:rsidR="00000000" w:rsidRPr="00000000">
        <w:rPr>
          <w:sz w:val="24"/>
          <w:szCs w:val="24"/>
          <w:rtl w:val="0"/>
        </w:rPr>
        <w:t xml:space="preserve">al Gerente de Certificación para resolver el caso.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decisión final será vinculante.</w:t>
      </w:r>
    </w:p>
    <w:p w:rsidR="00000000" w:rsidDel="00000000" w:rsidP="00000000" w:rsidRDefault="00000000" w:rsidRPr="00000000" w14:paraId="0000006B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20. Quejas</w:t>
      </w:r>
    </w:p>
    <w:p w:rsidR="00000000" w:rsidDel="00000000" w:rsidP="00000000" w:rsidRDefault="00000000" w:rsidRPr="00000000" w14:paraId="0000006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Toda queja deberá ser presentada por escrito.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Amspec: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registrará,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investigará de manera independiente,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</w:t>
      </w:r>
      <w:r w:rsidDel="00000000" w:rsidR="00000000" w:rsidRPr="00000000">
        <w:rPr>
          <w:sz w:val="24"/>
          <w:szCs w:val="24"/>
          <w:rtl w:val="0"/>
        </w:rPr>
        <w:t xml:space="preserve">ará al cliente sobre los resultados.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Informará a RTRS la recepción y cierre de reclamos y apelaciones asociados a la certificación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spacing w:after="299" w:before="299" w:line="24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21. Modificaciones del procedimiento</w:t>
      </w:r>
    </w:p>
    <w:p w:rsidR="00000000" w:rsidDel="00000000" w:rsidP="00000000" w:rsidRDefault="00000000" w:rsidRPr="00000000" w14:paraId="00000072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Amspec puede modificar este procedimiento sin previo aviso.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versión vigente siempre será la publicada o distribuida internamente.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HISTÓRICO DE REVISIONES </w:t>
      </w:r>
    </w:p>
    <w:tbl>
      <w:tblPr>
        <w:tblStyle w:val="Table1"/>
        <w:tblW w:w="10981.0" w:type="dxa"/>
        <w:jc w:val="left"/>
        <w:tblInd w:w="-30.0" w:type="dxa"/>
        <w:tblBorders>
          <w:top w:color="a3a3a3" w:space="0" w:sz="8" w:val="single"/>
          <w:left w:color="a3a3a3" w:space="0" w:sz="8" w:val="single"/>
          <w:bottom w:color="a3a3a3" w:space="0" w:sz="8" w:val="single"/>
          <w:right w:color="a3a3a3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66"/>
        <w:gridCol w:w="1999"/>
        <w:gridCol w:w="2558"/>
        <w:gridCol w:w="1809"/>
        <w:gridCol w:w="1645"/>
        <w:gridCol w:w="1904"/>
        <w:tblGridChange w:id="0">
          <w:tblGrid>
            <w:gridCol w:w="1066"/>
            <w:gridCol w:w="1999"/>
            <w:gridCol w:w="2558"/>
            <w:gridCol w:w="1809"/>
            <w:gridCol w:w="1645"/>
            <w:gridCol w:w="190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Versión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Vigencia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del cambio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Responsable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Revisión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Aprobación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21/11/2025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Creación del documento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Manuela Azcuaga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Manuela Azcuaga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Alejandro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16/3/2026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Adaptación a desvíos del estudio documental para acreditación RTRS/ISO 17065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Manuela Azcuaga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Alejandra De Mattia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Alejandro Carvalho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276" w:right="1701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tabs>
        <w:tab w:val="left" w:leader="none" w:pos="3975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2"/>
      <w:tblW w:w="10200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400"/>
    </w:tblPr>
    <w:tblGrid>
      <w:gridCol w:w="2625"/>
      <w:gridCol w:w="3135"/>
      <w:gridCol w:w="1050"/>
      <w:gridCol w:w="1545"/>
      <w:gridCol w:w="1845"/>
      <w:tblGridChange w:id="0">
        <w:tblGrid>
          <w:gridCol w:w="2625"/>
          <w:gridCol w:w="3135"/>
          <w:gridCol w:w="1050"/>
          <w:gridCol w:w="1545"/>
          <w:gridCol w:w="1845"/>
        </w:tblGrid>
      </w:tblGridChange>
    </w:tblGrid>
    <w:tr>
      <w:trPr>
        <w:cantSplit w:val="0"/>
        <w:trHeight w:val="518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9">
          <w:pPr>
            <w:ind w:left="-108" w:firstLine="0"/>
            <w:rPr>
              <w:rFonts w:ascii="Bell MT" w:cs="Bell MT" w:eastAsia="Bell MT" w:hAnsi="Bell M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bCs w:val="1"/>
              <w:sz w:val="28"/>
              <w:szCs w:val="28"/>
              <w:rtl w:val="0"/>
            </w:rPr>
            <w:t xml:space="preserve">   </w:t>
          </w:r>
          <w:r w:rsidDel="00000000" w:rsidR="00000000" w:rsidRPr="00000000">
            <w:rPr>
              <w:rFonts w:ascii="Bell MT" w:cs="Bell MT" w:eastAsia="Bell MT" w:hAnsi="Bell MT"/>
              <w:b w:val="1"/>
              <w:bCs w:val="1"/>
              <w:color w:val="ff0000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/>
            <w:drawing>
              <wp:inline distB="0" distT="0" distL="0" distR="0">
                <wp:extent cx="1282700" cy="4572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PROCEDIMIENTO – CÓDIGO DE PRÁCTICA PARA SERVICIOS DE CERTIFICACIÓN DE PRODUCTOS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B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Vigente desde: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8D">
          <w:pPr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Revisión:</w:t>
          </w:r>
        </w:p>
      </w:tc>
    </w:tr>
    <w:tr>
      <w:trPr>
        <w:cantSplit w:val="0"/>
        <w:trHeight w:val="517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0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16/3/26</w:t>
          </w:r>
        </w:p>
      </w:tc>
      <w:tc>
        <w:tcPr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92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01</w:t>
          </w:r>
        </w:p>
      </w:tc>
    </w:tr>
    <w:tr>
      <w:trPr>
        <w:cantSplit w:val="0"/>
        <w:trHeight w:val="60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5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Código: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6">
          <w:pPr>
            <w:jc w:val="center"/>
            <w:rPr/>
          </w:pPr>
          <w:r w:rsidDel="00000000" w:rsidR="00000000" w:rsidRPr="00000000">
            <w:rPr>
              <w:sz w:val="24"/>
              <w:szCs w:val="24"/>
              <w:rtl w:val="0"/>
            </w:rPr>
            <w:t xml:space="preserve">AGP 013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78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A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Página: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C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4"/>
              <w:szCs w:val="24"/>
              <w:rtl w:val="0"/>
            </w:rPr>
            <w:t xml:space="preserve"> de </w:t>
          </w: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46F1BF9D"/>
    <w:pPr>
      <w:spacing/>
      <w:ind w:left="720"/>
      <w:contextualSpacing w:val="1"/>
    </w:pPr>
  </w:style>
  <w:style w:type="character" w:styleId="Hyperlink">
    <w:name w:val="Hyperlink"/>
    <w:basedOn w:val="Fuentedeprrafopredeter"/>
    <w:uiPriority w:val="99"/>
    <w:unhideWhenUsed w:val="1"/>
    <w:rsid w:val="5F7F3B4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nuela.azcuaga@amspegroup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7MlhzSyNcw7Cdf10uUKoDJlQrw==">CgMxLjA4AHIhMXNmbEE5elByS1pNWkVrR21tYUpTM1YxVnAzYTdSLUsz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2024-10-23T14:33:00.0000000Z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0x010100AD1DBB1E884E6546A2A74370BE55AA05</vt:lpwstr>
  </property>
</Properties>
</file>