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widowControl w:val="1"/>
        <w:spacing w:after="0" w:before="0" w:line="276" w:lineRule="auto"/>
        <w:jc w:val="both"/>
        <w:rPr/>
      </w:pPr>
      <w:r w:rsidDel="00000000" w:rsidR="00000000" w:rsidRPr="00000000">
        <w:rPr>
          <w:rtl w:val="0"/>
        </w:rPr>
        <w:t xml:space="preserve">AmSpec dispone de un procedimiento formal, documentado e imparcial para la </w:t>
      </w:r>
      <w:r w:rsidDel="00000000" w:rsidR="00000000" w:rsidRPr="00000000">
        <w:rPr>
          <w:b w:val="1"/>
          <w:bCs w:val="1"/>
          <w:rtl w:val="0"/>
        </w:rPr>
        <w:t xml:space="preserve">recepción, evaluación, seguimiento y resolución de quejas y apelaciones</w:t>
      </w:r>
      <w:r w:rsidDel="00000000" w:rsidR="00000000" w:rsidRPr="00000000">
        <w:rPr>
          <w:rtl w:val="0"/>
        </w:rPr>
        <w:t xml:space="preserve">, en cumplimiento con los requisitos de la Norma </w:t>
      </w:r>
      <w:r w:rsidDel="00000000" w:rsidR="00000000" w:rsidRPr="00000000">
        <w:rPr>
          <w:b w:val="1"/>
          <w:bCs w:val="1"/>
          <w:rtl w:val="0"/>
        </w:rPr>
        <w:t xml:space="preserve">ISO/IEC 17065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spacing w:after="0" w:before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widowControl w:val="1"/>
        <w:spacing w:after="0" w:before="0" w:line="276" w:lineRule="auto"/>
        <w:jc w:val="both"/>
        <w:rPr>
          <w:sz w:val="26"/>
          <w:szCs w:val="26"/>
        </w:rPr>
      </w:pPr>
      <w:bookmarkStart w:colFirst="0" w:colLast="0" w:name="_heading=h.j7te957ejp8t" w:id="0"/>
      <w:bookmarkEnd w:id="0"/>
      <w:r w:rsidDel="00000000" w:rsidR="00000000" w:rsidRPr="00000000">
        <w:rPr>
          <w:sz w:val="26"/>
          <w:szCs w:val="26"/>
          <w:rtl w:val="0"/>
        </w:rPr>
        <w:t xml:space="preserve">Alcance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  <w:t xml:space="preserve">Este procedimiento aplica a </w:t>
      </w:r>
      <w:r w:rsidDel="00000000" w:rsidR="00000000" w:rsidRPr="00000000">
        <w:rPr>
          <w:b w:val="1"/>
          <w:bCs w:val="1"/>
          <w:rtl w:val="0"/>
        </w:rPr>
        <w:t xml:space="preserve">quejas y apelaciones presentadas por escrito</w:t>
      </w:r>
      <w:r w:rsidDel="00000000" w:rsidR="00000000" w:rsidRPr="00000000">
        <w:rPr>
          <w:rtl w:val="0"/>
        </w:rPr>
        <w:t xml:space="preserve"> por clientes o partes interesadas relacionadas con los servicios prestados por AmSpec, conforme a lo establecido en los acuerdos o contratos vigentes.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widowControl w:val="1"/>
        <w:spacing w:after="0" w:before="0" w:line="276" w:lineRule="auto"/>
        <w:jc w:val="both"/>
        <w:rPr/>
      </w:pPr>
      <w:bookmarkStart w:colFirst="0" w:colLast="0" w:name="_heading=h.7te9u83pxefi" w:id="1"/>
      <w:bookmarkEnd w:id="1"/>
      <w:r w:rsidDel="00000000" w:rsidR="00000000" w:rsidRPr="00000000">
        <w:rPr>
          <w:sz w:val="26"/>
          <w:szCs w:val="26"/>
          <w:rtl w:val="0"/>
        </w:rPr>
        <w:t xml:space="preserve">Definiciones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5"/>
        </w:numPr>
        <w:spacing w:after="0" w:before="0" w:line="276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Queja:</w:t>
      </w:r>
      <w:r w:rsidDel="00000000" w:rsidR="00000000" w:rsidRPr="00000000">
        <w:rPr>
          <w:rtl w:val="0"/>
        </w:rPr>
        <w:t xml:space="preserve"> Expresión de insatisfacción respecto a un servicio prestado por AmSpec, que requiere una respuesta formal.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5"/>
        </w:numPr>
        <w:spacing w:after="0" w:before="0" w:line="276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Apelación:</w:t>
      </w:r>
      <w:r w:rsidDel="00000000" w:rsidR="00000000" w:rsidRPr="00000000">
        <w:rPr>
          <w:rtl w:val="0"/>
        </w:rPr>
        <w:t xml:space="preserve"> Solicitud para reconsiderar una decisión tomada por AmSpec en relación con una queja, situación , servicio, informe o certificado emitido.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5"/>
        </w:numPr>
        <w:spacing w:after="0" w:before="0" w:line="276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Cliente:</w:t>
      </w:r>
      <w:r w:rsidDel="00000000" w:rsidR="00000000" w:rsidRPr="00000000">
        <w:rPr>
          <w:rtl w:val="0"/>
        </w:rPr>
        <w:t xml:space="preserve"> Persona u organización que solicita o contrata los servicios de evaluación de la conformidad de AmSpec.</w:t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widowControl w:val="1"/>
        <w:spacing w:after="0" w:before="0" w:line="276" w:lineRule="auto"/>
        <w:jc w:val="both"/>
        <w:rPr>
          <w:sz w:val="26"/>
          <w:szCs w:val="26"/>
        </w:rPr>
      </w:pPr>
      <w:bookmarkStart w:colFirst="0" w:colLast="0" w:name="_heading=h.7ja2gxub0t0q" w:id="2"/>
      <w:bookmarkEnd w:id="2"/>
      <w:r w:rsidDel="00000000" w:rsidR="00000000" w:rsidRPr="00000000">
        <w:rPr>
          <w:sz w:val="26"/>
          <w:szCs w:val="26"/>
          <w:rtl w:val="0"/>
        </w:rPr>
        <w:t xml:space="preserve">Principios generales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2"/>
        </w:numPr>
        <w:spacing w:after="0" w:before="0" w:line="276" w:lineRule="auto"/>
        <w:ind w:left="720" w:hanging="360"/>
      </w:pPr>
      <w:r w:rsidDel="00000000" w:rsidR="00000000" w:rsidRPr="00000000">
        <w:rPr>
          <w:rtl w:val="0"/>
        </w:rPr>
        <w:t xml:space="preserve">Todas las quejas y apelaciones son tratadas de manera </w:t>
      </w:r>
      <w:r w:rsidDel="00000000" w:rsidR="00000000" w:rsidRPr="00000000">
        <w:rPr>
          <w:b w:val="1"/>
          <w:bCs w:val="1"/>
          <w:rtl w:val="0"/>
        </w:rPr>
        <w:t xml:space="preserve">objetiva, confidencial, sin discriminación y sin represalias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2"/>
        </w:numPr>
        <w:spacing w:after="0" w:before="0" w:line="276" w:lineRule="auto"/>
        <w:ind w:left="720" w:hanging="360"/>
      </w:pPr>
      <w:r w:rsidDel="00000000" w:rsidR="00000000" w:rsidRPr="00000000">
        <w:rPr>
          <w:rtl w:val="0"/>
        </w:rPr>
        <w:t xml:space="preserve">El personal involucrado en la prestación del servicio </w:t>
      </w:r>
      <w:r w:rsidDel="00000000" w:rsidR="00000000" w:rsidRPr="00000000">
        <w:rPr>
          <w:b w:val="1"/>
          <w:bCs w:val="1"/>
          <w:rtl w:val="0"/>
        </w:rPr>
        <w:t xml:space="preserve">no participa en la decisión final</w:t>
      </w:r>
      <w:r w:rsidDel="00000000" w:rsidR="00000000" w:rsidRPr="00000000">
        <w:rPr>
          <w:rtl w:val="0"/>
        </w:rPr>
        <w:t xml:space="preserve"> sobre la queja o apelación.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2"/>
        </w:numPr>
        <w:spacing w:after="0" w:before="0" w:line="276" w:lineRule="auto"/>
        <w:ind w:left="720" w:hanging="360"/>
      </w:pPr>
      <w:r w:rsidDel="00000000" w:rsidR="00000000" w:rsidRPr="00000000">
        <w:rPr>
          <w:rtl w:val="0"/>
        </w:rPr>
        <w:t xml:space="preserve">Las decisiones se basan en </w:t>
      </w:r>
      <w:r w:rsidDel="00000000" w:rsidR="00000000" w:rsidRPr="00000000">
        <w:rPr>
          <w:b w:val="1"/>
          <w:bCs w:val="1"/>
          <w:rtl w:val="0"/>
        </w:rPr>
        <w:t xml:space="preserve">evidencias objetivas y documentadas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2"/>
        </w:numPr>
        <w:spacing w:after="0" w:before="0" w:line="276" w:lineRule="auto"/>
        <w:ind w:left="720" w:hanging="360"/>
      </w:pPr>
      <w:r w:rsidDel="00000000" w:rsidR="00000000" w:rsidRPr="00000000">
        <w:rPr>
          <w:rtl w:val="0"/>
        </w:rPr>
        <w:t xml:space="preserve">El proceso es </w:t>
      </w:r>
      <w:r w:rsidDel="00000000" w:rsidR="00000000" w:rsidRPr="00000000">
        <w:rPr>
          <w:b w:val="1"/>
          <w:bCs w:val="1"/>
          <w:rtl w:val="0"/>
        </w:rPr>
        <w:t xml:space="preserve">gratuito</w:t>
      </w:r>
      <w:r w:rsidDel="00000000" w:rsidR="00000000" w:rsidRPr="00000000">
        <w:rPr>
          <w:rtl w:val="0"/>
        </w:rPr>
        <w:t xml:space="preserve"> para quien presenta la queja o apelación.</w:t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widowControl w:val="1"/>
        <w:spacing w:after="0" w:before="0" w:line="276" w:lineRule="auto"/>
        <w:jc w:val="both"/>
        <w:rPr>
          <w:sz w:val="26"/>
          <w:szCs w:val="26"/>
        </w:rPr>
      </w:pPr>
      <w:bookmarkStart w:colFirst="0" w:colLast="0" w:name="_heading=h.vhz5t5tvvpc6" w:id="3"/>
      <w:bookmarkEnd w:id="3"/>
      <w:r w:rsidDel="00000000" w:rsidR="00000000" w:rsidRPr="00000000">
        <w:rPr>
          <w:sz w:val="26"/>
          <w:szCs w:val="26"/>
          <w:rtl w:val="0"/>
        </w:rPr>
        <w:t xml:space="preserve">Proceso de atención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4"/>
        </w:numPr>
        <w:spacing w:after="0" w:before="0" w:line="276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Recepción y registro:</w:t>
        <w:br w:type="textWrapping"/>
      </w:r>
      <w:r w:rsidDel="00000000" w:rsidR="00000000" w:rsidRPr="00000000">
        <w:rPr>
          <w:rtl w:val="0"/>
        </w:rPr>
        <w:t xml:space="preserve"> Toda queja o apelación debe ser solicitada mediante: 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Get in Touch | AmSpec Testing, Inspection &amp; Certification</w:t>
        </w:r>
      </w:hyperlink>
      <w:r w:rsidDel="00000000" w:rsidR="00000000" w:rsidRPr="00000000">
        <w:rPr>
          <w:rtl w:val="0"/>
        </w:rPr>
        <w:t xml:space="preserve"> , </w:t>
      </w:r>
      <w:r w:rsidDel="00000000" w:rsidR="00000000" w:rsidRPr="00000000">
        <w:rPr>
          <w:rtl w:val="0"/>
        </w:rPr>
        <w:t xml:space="preserve">es registrada formalmente y se confirma su recepción por escrito al solicitante, informando los plazos y el proceso de seguimiento.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4"/>
        </w:numPr>
        <w:spacing w:after="0" w:before="0" w:line="276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Análisis e investigación:</w:t>
        <w:br w:type="textWrapping"/>
      </w:r>
      <w:r w:rsidDel="00000000" w:rsidR="00000000" w:rsidRPr="00000000">
        <w:rPr>
          <w:rtl w:val="0"/>
        </w:rPr>
        <w:t xml:space="preserve"> Se designan responsables independientes para analizar la información, recopilar evidencias y evaluar la procedencia del reclamo.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4"/>
        </w:numPr>
        <w:spacing w:after="0" w:before="0" w:line="276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Decisión: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1"/>
          <w:numId w:val="4"/>
        </w:numPr>
        <w:spacing w:after="0" w:before="0" w:line="276" w:lineRule="auto"/>
        <w:ind w:left="1440" w:hanging="360"/>
      </w:pPr>
      <w:r w:rsidDel="00000000" w:rsidR="00000000" w:rsidRPr="00000000">
        <w:rPr>
          <w:rtl w:val="0"/>
        </w:rPr>
        <w:t xml:space="preserve">Si no corresponde, se comunica la decisión fundamentada y se cierra el caso.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1"/>
          <w:numId w:val="4"/>
        </w:numPr>
        <w:spacing w:after="0" w:before="0" w:line="276" w:lineRule="auto"/>
        <w:ind w:left="1440" w:hanging="360"/>
      </w:pPr>
      <w:r w:rsidDel="00000000" w:rsidR="00000000" w:rsidRPr="00000000">
        <w:rPr>
          <w:rtl w:val="0"/>
        </w:rPr>
        <w:t xml:space="preserve">Si corresponde, se definen e implementan acciones correctivas o preventivas, según aplique.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4"/>
        </w:numPr>
        <w:spacing w:after="0" w:before="0" w:line="276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Comunicación:</w:t>
        <w:br w:type="textWrapping"/>
      </w:r>
      <w:r w:rsidDel="00000000" w:rsidR="00000000" w:rsidRPr="00000000">
        <w:rPr>
          <w:rtl w:val="0"/>
        </w:rPr>
        <w:t xml:space="preserve"> La decisión final y las acciones adoptadas se comunican por escrito al solicitante.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4"/>
        </w:numPr>
        <w:spacing w:after="0" w:before="0" w:line="276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Cierre:</w:t>
        <w:br w:type="textWrapping"/>
      </w:r>
      <w:r w:rsidDel="00000000" w:rsidR="00000000" w:rsidRPr="00000000">
        <w:rPr>
          <w:rtl w:val="0"/>
        </w:rPr>
        <w:t xml:space="preserve"> El proceso se da por finalizado una vez implementadas las acciones y notificada la resolución.</w:t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widowControl w:val="1"/>
        <w:spacing w:after="0" w:before="0" w:line="276" w:lineRule="auto"/>
        <w:jc w:val="both"/>
        <w:rPr>
          <w:sz w:val="26"/>
          <w:szCs w:val="26"/>
        </w:rPr>
      </w:pPr>
      <w:bookmarkStart w:colFirst="0" w:colLast="0" w:name="_heading=h.btm1mewm11mh" w:id="4"/>
      <w:bookmarkEnd w:id="4"/>
      <w:r w:rsidDel="00000000" w:rsidR="00000000" w:rsidRPr="00000000">
        <w:rPr>
          <w:sz w:val="26"/>
          <w:szCs w:val="26"/>
          <w:rtl w:val="0"/>
        </w:rPr>
        <w:t xml:space="preserve">Plazos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1"/>
        </w:numPr>
        <w:spacing w:after="0" w:before="0" w:line="276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Quejas: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1"/>
          <w:numId w:val="1"/>
        </w:numPr>
        <w:spacing w:after="0" w:before="0" w:line="276" w:lineRule="auto"/>
        <w:ind w:left="1440" w:hanging="360"/>
      </w:pPr>
      <w:r w:rsidDel="00000000" w:rsidR="00000000" w:rsidRPr="00000000">
        <w:rPr>
          <w:rtl w:val="0"/>
        </w:rPr>
        <w:t xml:space="preserve">Presentación: hasta 90 días naturales posteriores a la emisión del reporte final.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1"/>
          <w:numId w:val="1"/>
        </w:numPr>
        <w:spacing w:after="0" w:before="0" w:line="276" w:lineRule="auto"/>
        <w:ind w:left="1440" w:hanging="360"/>
      </w:pPr>
      <w:r w:rsidDel="00000000" w:rsidR="00000000" w:rsidRPr="00000000">
        <w:rPr>
          <w:rtl w:val="0"/>
        </w:rPr>
        <w:t xml:space="preserve">Respuesta inicial: dentro de los 5 días hábiles.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1"/>
          <w:numId w:val="1"/>
        </w:numPr>
        <w:spacing w:after="0" w:before="0" w:line="276" w:lineRule="auto"/>
        <w:ind w:left="1440" w:hanging="360"/>
      </w:pPr>
      <w:r w:rsidDel="00000000" w:rsidR="00000000" w:rsidRPr="00000000">
        <w:rPr>
          <w:rtl w:val="0"/>
        </w:rPr>
        <w:t xml:space="preserve">Decisión y comunicación: hasta 20 días naturales.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1"/>
        </w:numPr>
        <w:spacing w:after="0" w:before="0" w:line="276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Apelaciones: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1"/>
          <w:numId w:val="1"/>
        </w:numPr>
        <w:spacing w:after="0" w:before="0" w:line="276" w:lineRule="auto"/>
        <w:ind w:left="1440" w:hanging="360"/>
      </w:pPr>
      <w:r w:rsidDel="00000000" w:rsidR="00000000" w:rsidRPr="00000000">
        <w:rPr>
          <w:rtl w:val="0"/>
        </w:rPr>
        <w:t xml:space="preserve">Presentación: hasta 45 días naturales posteriores a la emisión del reporte final.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1"/>
          <w:numId w:val="1"/>
        </w:numPr>
        <w:spacing w:after="0" w:before="0" w:line="276" w:lineRule="auto"/>
        <w:ind w:left="1440" w:hanging="360"/>
      </w:pPr>
      <w:r w:rsidDel="00000000" w:rsidR="00000000" w:rsidRPr="00000000">
        <w:rPr>
          <w:rtl w:val="0"/>
        </w:rPr>
        <w:t xml:space="preserve">Respuesta inicial: dentro de los 5 días hábiles.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1"/>
          <w:numId w:val="1"/>
        </w:numPr>
        <w:spacing w:after="0" w:before="0" w:line="276" w:lineRule="auto"/>
        <w:ind w:left="1440" w:hanging="360"/>
      </w:pPr>
      <w:r w:rsidDel="00000000" w:rsidR="00000000" w:rsidRPr="00000000">
        <w:rPr>
          <w:rtl w:val="0"/>
        </w:rPr>
        <w:t xml:space="preserve">Decisión: hasta 10 días hábiles.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1"/>
        </w:numPr>
        <w:spacing w:after="0" w:before="0" w:line="276" w:lineRule="auto"/>
        <w:ind w:left="720" w:hanging="360"/>
      </w:pPr>
      <w:r w:rsidDel="00000000" w:rsidR="00000000" w:rsidRPr="00000000">
        <w:rPr>
          <w:rtl w:val="0"/>
        </w:rPr>
        <w:t xml:space="preserve">En ambos casos, el seguimiento completo y la implementación de acciones no excederán los </w:t>
      </w:r>
      <w:r w:rsidDel="00000000" w:rsidR="00000000" w:rsidRPr="00000000">
        <w:rPr>
          <w:b w:val="1"/>
          <w:bCs w:val="1"/>
          <w:rtl w:val="0"/>
        </w:rPr>
        <w:t xml:space="preserve">90 días naturales</w:t>
      </w:r>
      <w:r w:rsidDel="00000000" w:rsidR="00000000" w:rsidRPr="00000000">
        <w:rPr>
          <w:rtl w:val="0"/>
        </w:rPr>
        <w:t xml:space="preserve">, salvo situaciones justificadas.</w:t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widowControl w:val="1"/>
        <w:spacing w:after="0" w:before="0" w:line="276" w:lineRule="auto"/>
        <w:jc w:val="both"/>
        <w:rPr>
          <w:sz w:val="26"/>
          <w:szCs w:val="26"/>
        </w:rPr>
      </w:pPr>
      <w:bookmarkStart w:colFirst="0" w:colLast="0" w:name="_heading=h.t27ghwr9a91o" w:id="5"/>
      <w:bookmarkEnd w:id="5"/>
      <w:r w:rsidDel="00000000" w:rsidR="00000000" w:rsidRPr="00000000">
        <w:rPr>
          <w:sz w:val="26"/>
          <w:szCs w:val="26"/>
          <w:rtl w:val="0"/>
        </w:rPr>
        <w:t xml:space="preserve">Registros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spacing w:after="0" w:before="0" w:line="276" w:lineRule="auto"/>
        <w:jc w:val="both"/>
        <w:rPr/>
      </w:pPr>
      <w:r w:rsidDel="00000000" w:rsidR="00000000" w:rsidRPr="00000000">
        <w:rPr>
          <w:rtl w:val="0"/>
        </w:rPr>
        <w:t xml:space="preserve">Todas las quejas y apelaciones, junto con sus evidencias, análisis y decisiones, son registradas y conservadas por un período mínimo de </w:t>
      </w:r>
      <w:r w:rsidDel="00000000" w:rsidR="00000000" w:rsidRPr="00000000">
        <w:rPr>
          <w:b w:val="1"/>
          <w:bCs w:val="1"/>
          <w:rtl w:val="0"/>
        </w:rPr>
        <w:t xml:space="preserve">5 años</w:t>
      </w:r>
      <w:r w:rsidDel="00000000" w:rsidR="00000000" w:rsidRPr="00000000">
        <w:rPr>
          <w:rtl w:val="0"/>
        </w:rPr>
        <w:t xml:space="preserve">, y son consideradas como entrada para la </w:t>
      </w:r>
      <w:r w:rsidDel="00000000" w:rsidR="00000000" w:rsidRPr="00000000">
        <w:rPr>
          <w:b w:val="1"/>
          <w:bCs w:val="1"/>
          <w:rtl w:val="0"/>
        </w:rPr>
        <w:t xml:space="preserve">Revisión por la Dirección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spacing w:after="0" w:before="0" w:line="192.00000000000003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-426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HISTÓRICO DE REVISIONES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35.0" w:type="dxa"/>
        <w:jc w:val="left"/>
        <w:tblInd w:w="-3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15"/>
        <w:gridCol w:w="2145"/>
        <w:gridCol w:w="2550"/>
        <w:gridCol w:w="1920"/>
        <w:gridCol w:w="1515"/>
        <w:gridCol w:w="1890"/>
        <w:tblGridChange w:id="0">
          <w:tblGrid>
            <w:gridCol w:w="915"/>
            <w:gridCol w:w="2145"/>
            <w:gridCol w:w="2550"/>
            <w:gridCol w:w="1920"/>
            <w:gridCol w:w="1515"/>
            <w:gridCol w:w="189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a3a3a3" w:space="0" w:sz="6" w:val="single"/>
              <w:left w:color="a3a3a3" w:space="0" w:sz="6" w:val="single"/>
              <w:bottom w:color="a3a3a3" w:space="0" w:sz="6" w:val="single"/>
              <w:right w:color="a3a3a3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Versión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a3a3a3" w:space="0" w:sz="6" w:val="single"/>
              <w:left w:color="a3a3a3" w:space="0" w:sz="6" w:val="single"/>
              <w:bottom w:color="a3a3a3" w:space="0" w:sz="6" w:val="single"/>
              <w:right w:color="a3a3a3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Fecha de Vigencia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a3a3a3" w:space="0" w:sz="6" w:val="single"/>
              <w:left w:color="a3a3a3" w:space="0" w:sz="6" w:val="single"/>
              <w:bottom w:color="a3a3a3" w:space="0" w:sz="6" w:val="single"/>
              <w:right w:color="a3a3a3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Descripción del cambio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a3a3a3" w:space="0" w:sz="6" w:val="single"/>
              <w:left w:color="a3a3a3" w:space="0" w:sz="6" w:val="single"/>
              <w:bottom w:color="a3a3a3" w:space="0" w:sz="6" w:val="single"/>
              <w:right w:color="a3a3a3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Responsable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a3a3a3" w:space="0" w:sz="6" w:val="single"/>
              <w:left w:color="a3a3a3" w:space="0" w:sz="6" w:val="single"/>
              <w:bottom w:color="a3a3a3" w:space="0" w:sz="6" w:val="single"/>
              <w:right w:color="a3a3a3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Revisión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a3a3a3" w:space="0" w:sz="6" w:val="single"/>
              <w:left w:color="a3a3a3" w:space="0" w:sz="6" w:val="single"/>
              <w:bottom w:color="a3a3a3" w:space="0" w:sz="6" w:val="single"/>
              <w:right w:color="a3a3a3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Aprobación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a3a3a3" w:space="0" w:sz="6" w:val="single"/>
              <w:left w:color="a3a3a3" w:space="0" w:sz="6" w:val="single"/>
              <w:bottom w:color="a3a3a3" w:space="0" w:sz="6" w:val="single"/>
              <w:right w:color="a3a3a3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00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a3a3a3" w:space="0" w:sz="6" w:val="single"/>
              <w:left w:color="a3a3a3" w:space="0" w:sz="6" w:val="single"/>
              <w:bottom w:color="a3a3a3" w:space="0" w:sz="6" w:val="single"/>
              <w:right w:color="a3a3a3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3/12/2025 </w:t>
            </w:r>
          </w:p>
        </w:tc>
        <w:tc>
          <w:tcPr>
            <w:tcBorders>
              <w:top w:color="a3a3a3" w:space="0" w:sz="6" w:val="single"/>
              <w:left w:color="a3a3a3" w:space="0" w:sz="6" w:val="single"/>
              <w:bottom w:color="a3a3a3" w:space="0" w:sz="6" w:val="single"/>
              <w:right w:color="a3a3a3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Creación del documento </w:t>
            </w:r>
          </w:p>
        </w:tc>
        <w:tc>
          <w:tcPr>
            <w:tcBorders>
              <w:top w:color="a3a3a3" w:space="0" w:sz="6" w:val="single"/>
              <w:left w:color="a3a3a3" w:space="0" w:sz="6" w:val="single"/>
              <w:bottom w:color="a3a3a3" w:space="0" w:sz="6" w:val="single"/>
              <w:right w:color="a3a3a3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Manuela Azcuaga</w:t>
            </w:r>
          </w:p>
        </w:tc>
        <w:tc>
          <w:tcPr>
            <w:tcBorders>
              <w:top w:color="a3a3a3" w:space="0" w:sz="6" w:val="single"/>
              <w:left w:color="a3a3a3" w:space="0" w:sz="6" w:val="single"/>
              <w:bottom w:color="a3a3a3" w:space="0" w:sz="6" w:val="single"/>
              <w:right w:color="a3a3a3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Manuela Azcuaga</w:t>
            </w:r>
          </w:p>
        </w:tc>
        <w:tc>
          <w:tcPr>
            <w:tcBorders>
              <w:top w:color="a3a3a3" w:space="0" w:sz="6" w:val="single"/>
              <w:left w:color="a3a3a3" w:space="0" w:sz="6" w:val="single"/>
              <w:bottom w:color="a3a3a3" w:space="0" w:sz="6" w:val="single"/>
              <w:right w:color="a3a3a3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Alejandro Carvalho</w:t>
            </w:r>
          </w:p>
        </w:tc>
      </w:tr>
    </w:tbl>
    <w:p w:rsidR="00000000" w:rsidDel="00000000" w:rsidP="00000000" w:rsidRDefault="00000000" w:rsidRPr="00000000" w14:paraId="00000031">
      <w:pPr>
        <w:spacing w:after="0"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5840" w:w="12240" w:orient="portrait"/>
      <w:pgMar w:bottom="1417" w:top="1417" w:left="1276" w:right="1701" w:header="708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Bell M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tabs>
        <w:tab w:val="left" w:leader="none" w:pos="3975"/>
      </w:tabs>
      <w:rPr/>
    </w:pPr>
    <w:r w:rsidDel="00000000" w:rsidR="00000000" w:rsidRPr="00000000">
      <w:rPr>
        <w:rtl w:val="0"/>
      </w:rPr>
      <w:tab/>
    </w:r>
  </w:p>
  <w:p w:rsidR="00000000" w:rsidDel="00000000" w:rsidP="00000000" w:rsidRDefault="00000000" w:rsidRPr="00000000" w14:paraId="0000004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Rule="auto"/>
      <w:rPr/>
    </w:pPr>
    <w:r w:rsidDel="00000000" w:rsidR="00000000" w:rsidRPr="00000000">
      <w:rPr>
        <w:rtl w:val="0"/>
      </w:rPr>
    </w:r>
  </w:p>
  <w:tbl>
    <w:tblPr>
      <w:tblStyle w:val="Table2"/>
      <w:tblW w:w="10200.0" w:type="dxa"/>
      <w:jc w:val="center"/>
      <w:tblLayout w:type="fixed"/>
      <w:tblLook w:val="0400"/>
    </w:tblPr>
    <w:tblGrid>
      <w:gridCol w:w="2625"/>
      <w:gridCol w:w="3135"/>
      <w:gridCol w:w="1050"/>
      <w:gridCol w:w="1545"/>
      <w:gridCol w:w="1845"/>
      <w:tblGridChange w:id="0">
        <w:tblGrid>
          <w:gridCol w:w="2625"/>
          <w:gridCol w:w="3135"/>
          <w:gridCol w:w="1050"/>
          <w:gridCol w:w="1545"/>
          <w:gridCol w:w="1845"/>
        </w:tblGrid>
      </w:tblGridChange>
    </w:tblGrid>
    <w:tr>
      <w:trPr>
        <w:cantSplit w:val="0"/>
        <w:trHeight w:val="518" w:hRule="atLeast"/>
        <w:tblHeader w:val="0"/>
      </w:trPr>
      <w:tc>
        <w:tcPr>
          <w:vMerge w:val="restart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08.0" w:type="dxa"/>
            <w:bottom w:w="0.0" w:type="dxa"/>
            <w:right w:w="108.0" w:type="dxa"/>
          </w:tcMar>
          <w:vAlign w:val="center"/>
        </w:tcPr>
        <w:p w:rsidR="00000000" w:rsidDel="00000000" w:rsidP="00000000" w:rsidRDefault="00000000" w:rsidRPr="00000000" w14:paraId="00000034">
          <w:pPr>
            <w:ind w:left="-108" w:firstLine="0"/>
            <w:rPr>
              <w:rFonts w:ascii="Bell MT" w:cs="Bell MT" w:eastAsia="Bell MT" w:hAnsi="Bell MT"/>
              <w:b w:val="1"/>
              <w:bCs w:val="1"/>
              <w:sz w:val="20"/>
              <w:szCs w:val="20"/>
            </w:rPr>
          </w:pPr>
          <w:r w:rsidDel="00000000" w:rsidR="00000000" w:rsidRPr="00000000">
            <w:rPr>
              <w:rFonts w:ascii="Bell MT" w:cs="Bell MT" w:eastAsia="Bell MT" w:hAnsi="Bell MT"/>
              <w:b w:val="1"/>
              <w:bCs w:val="1"/>
              <w:sz w:val="20"/>
              <w:szCs w:val="20"/>
              <w:rtl w:val="0"/>
            </w:rPr>
            <w:t xml:space="preserve">   </w:t>
          </w:r>
          <w:r w:rsidDel="00000000" w:rsidR="00000000" w:rsidRPr="00000000">
            <w:rPr>
              <w:rFonts w:ascii="Bell MT" w:cs="Bell MT" w:eastAsia="Bell MT" w:hAnsi="Bell MT"/>
              <w:b w:val="1"/>
              <w:bCs w:val="1"/>
              <w:color w:val="ff0000"/>
              <w:sz w:val="20"/>
              <w:szCs w:val="20"/>
              <w:rtl w:val="0"/>
            </w:rPr>
            <w:t xml:space="preserve"> </w:t>
          </w:r>
          <w:r w:rsidDel="00000000" w:rsidR="00000000" w:rsidRPr="00000000">
            <w:rPr>
              <w:sz w:val="14"/>
              <w:szCs w:val="14"/>
            </w:rPr>
            <w:drawing>
              <wp:inline distB="0" distT="0" distL="0" distR="0">
                <wp:extent cx="1282700" cy="457200"/>
                <wp:effectExtent b="0" l="0" r="0" t="0"/>
                <wp:docPr id="7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2700" cy="4572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tcBorders>
            <w:top w:color="000000" w:space="0" w:sz="4" w:val="single"/>
            <w:left w:color="000000" w:space="0" w:sz="4" w:val="single"/>
            <w:right w:color="000000" w:space="0" w:sz="4" w:val="single"/>
          </w:tcBorders>
          <w:shd w:fill="auto" w:val="clear"/>
          <w:tcMar>
            <w:top w:w="0.0" w:type="dxa"/>
            <w:left w:w="108.0" w:type="dxa"/>
            <w:bottom w:w="0.0" w:type="dxa"/>
            <w:right w:w="108.0" w:type="dxa"/>
          </w:tcMar>
          <w:vAlign w:val="center"/>
        </w:tcPr>
        <w:p w:rsidR="00000000" w:rsidDel="00000000" w:rsidP="00000000" w:rsidRDefault="00000000" w:rsidRPr="00000000" w14:paraId="00000035">
          <w:pPr>
            <w:pStyle w:val="Heading2"/>
            <w:keepNext w:val="0"/>
            <w:keepLines w:val="0"/>
            <w:jc w:val="both"/>
            <w:rPr>
              <w:b w:val="1"/>
              <w:bCs w:val="1"/>
              <w:sz w:val="16"/>
              <w:szCs w:val="16"/>
            </w:rPr>
          </w:pPr>
          <w:bookmarkStart w:colFirst="0" w:colLast="0" w:name="_heading=h.79q0f8aqpogl" w:id="6"/>
          <w:bookmarkEnd w:id="6"/>
          <w:r w:rsidDel="00000000" w:rsidR="00000000" w:rsidRPr="00000000">
            <w:rPr>
              <w:sz w:val="26"/>
              <w:szCs w:val="26"/>
              <w:rtl w:val="0"/>
            </w:rPr>
            <w:t xml:space="preserve">Resumen procedimiento Atención de Quejas y Apelaciones para página web</w:t>
          </w:r>
          <w:r w:rsidDel="00000000" w:rsidR="00000000" w:rsidRPr="00000000">
            <w:rPr>
              <w:rtl w:val="0"/>
            </w:rPr>
          </w:r>
        </w:p>
      </w:tc>
      <w:tc>
        <w:tcPr>
          <w:gridSpan w:val="2"/>
          <w:tcBorders>
            <w:top w:color="000000" w:space="0" w:sz="4" w:val="single"/>
            <w:left w:color="000000" w:space="0" w:sz="4" w:val="single"/>
            <w:right w:color="000000" w:space="0" w:sz="4" w:val="single"/>
          </w:tcBorders>
          <w:shd w:fill="auto" w:val="clear"/>
          <w:tcMar>
            <w:top w:w="0.0" w:type="dxa"/>
            <w:left w:w="108.0" w:type="dxa"/>
            <w:bottom w:w="0.0" w:type="dxa"/>
            <w:right w:w="108.0" w:type="dxa"/>
          </w:tcMar>
          <w:vAlign w:val="center"/>
        </w:tcPr>
        <w:p w:rsidR="00000000" w:rsidDel="00000000" w:rsidP="00000000" w:rsidRDefault="00000000" w:rsidRPr="00000000" w14:paraId="00000036">
          <w:pPr>
            <w:jc w:val="center"/>
            <w:rPr>
              <w:sz w:val="24"/>
              <w:szCs w:val="24"/>
            </w:rPr>
          </w:pPr>
          <w:r w:rsidDel="00000000" w:rsidR="00000000" w:rsidRPr="00000000">
            <w:rPr>
              <w:b w:val="1"/>
              <w:bCs w:val="1"/>
              <w:sz w:val="24"/>
              <w:szCs w:val="24"/>
              <w:rtl w:val="0"/>
            </w:rPr>
            <w:t xml:space="preserve">Vigente desde: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right w:color="000000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38">
          <w:pPr>
            <w:jc w:val="center"/>
            <w:rPr>
              <w:b w:val="1"/>
              <w:bCs w:val="1"/>
              <w:sz w:val="24"/>
              <w:szCs w:val="24"/>
            </w:rPr>
          </w:pPr>
          <w:r w:rsidDel="00000000" w:rsidR="00000000" w:rsidRPr="00000000">
            <w:rPr>
              <w:b w:val="1"/>
              <w:bCs w:val="1"/>
              <w:sz w:val="24"/>
              <w:szCs w:val="24"/>
              <w:rtl w:val="0"/>
            </w:rPr>
            <w:t xml:space="preserve">Revisión:</w:t>
          </w:r>
        </w:p>
      </w:tc>
    </w:tr>
    <w:tr>
      <w:trPr>
        <w:cantSplit w:val="0"/>
        <w:trHeight w:val="517" w:hRule="atLeast"/>
        <w:tblHeader w:val="0"/>
      </w:trPr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08.0" w:type="dxa"/>
            <w:bottom w:w="0.0" w:type="dxa"/>
            <w:right w:w="108.0" w:type="dxa"/>
          </w:tcMar>
          <w:vAlign w:val="center"/>
        </w:tcPr>
        <w:p w:rsidR="00000000" w:rsidDel="00000000" w:rsidP="00000000" w:rsidRDefault="00000000" w:rsidRPr="00000000" w14:paraId="00000039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bCs w:val="1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4" w:val="single"/>
            <w:left w:color="000000" w:space="0" w:sz="4" w:val="single"/>
            <w:right w:color="000000" w:space="0" w:sz="4" w:val="single"/>
          </w:tcBorders>
          <w:shd w:fill="auto" w:val="clear"/>
          <w:tcMar>
            <w:top w:w="0.0" w:type="dxa"/>
            <w:left w:w="108.0" w:type="dxa"/>
            <w:bottom w:w="0.0" w:type="dxa"/>
            <w:right w:w="108.0" w:type="dxa"/>
          </w:tcMar>
          <w:vAlign w:val="center"/>
        </w:tcPr>
        <w:p w:rsidR="00000000" w:rsidDel="00000000" w:rsidP="00000000" w:rsidRDefault="00000000" w:rsidRPr="00000000" w14:paraId="0000003A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b w:val="1"/>
              <w:bCs w:val="1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2"/>
          <w:tcBorders>
            <w:top w:color="000000" w:space="0" w:sz="4" w:val="single"/>
            <w:left w:color="000000" w:space="0" w:sz="4" w:val="single"/>
            <w:right w:color="000000" w:space="0" w:sz="4" w:val="single"/>
          </w:tcBorders>
          <w:shd w:fill="auto" w:val="clear"/>
          <w:tcMar>
            <w:top w:w="0.0" w:type="dxa"/>
            <w:left w:w="108.0" w:type="dxa"/>
            <w:bottom w:w="0.0" w:type="dxa"/>
            <w:right w:w="108.0" w:type="dxa"/>
          </w:tcMar>
          <w:vAlign w:val="center"/>
        </w:tcPr>
        <w:p w:rsidR="00000000" w:rsidDel="00000000" w:rsidP="00000000" w:rsidRDefault="00000000" w:rsidRPr="00000000" w14:paraId="0000003B">
          <w:pPr>
            <w:rPr>
              <w:sz w:val="24"/>
              <w:szCs w:val="24"/>
            </w:rPr>
          </w:pPr>
          <w:r w:rsidDel="00000000" w:rsidR="00000000" w:rsidRPr="00000000">
            <w:rPr>
              <w:sz w:val="24"/>
              <w:szCs w:val="24"/>
              <w:rtl w:val="0"/>
            </w:rPr>
            <w:t xml:space="preserve">3/12/25</w:t>
          </w:r>
        </w:p>
      </w:tc>
      <w:tc>
        <w:tcPr>
          <w:tcBorders>
            <w:top w:color="000000" w:space="0" w:sz="4" w:val="single"/>
            <w:left w:color="000000" w:space="0" w:sz="4" w:val="single"/>
            <w:right w:color="000000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3D">
          <w:pPr>
            <w:jc w:val="center"/>
            <w:rPr>
              <w:sz w:val="24"/>
              <w:szCs w:val="24"/>
            </w:rPr>
          </w:pPr>
          <w:r w:rsidDel="00000000" w:rsidR="00000000" w:rsidRPr="00000000">
            <w:rPr>
              <w:sz w:val="24"/>
              <w:szCs w:val="24"/>
              <w:rtl w:val="0"/>
            </w:rPr>
            <w:t xml:space="preserve">00</w:t>
          </w:r>
        </w:p>
      </w:tc>
    </w:tr>
    <w:tr>
      <w:trPr>
        <w:cantSplit w:val="0"/>
        <w:trHeight w:val="605" w:hRule="atLeast"/>
        <w:tblHeader w:val="0"/>
      </w:trPr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08.0" w:type="dxa"/>
            <w:bottom w:w="0.0" w:type="dxa"/>
            <w:right w:w="108.0" w:type="dxa"/>
          </w:tcMar>
          <w:vAlign w:val="center"/>
        </w:tcPr>
        <w:p w:rsidR="00000000" w:rsidDel="00000000" w:rsidP="00000000" w:rsidRDefault="00000000" w:rsidRPr="00000000" w14:paraId="0000003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shd w:fill="auto" w:val="clear"/>
          <w:tcMar>
            <w:top w:w="0.0" w:type="dxa"/>
            <w:left w:w="108.0" w:type="dxa"/>
            <w:bottom w:w="0.0" w:type="dxa"/>
            <w:right w:w="108.0" w:type="dxa"/>
          </w:tcMar>
          <w:vAlign w:val="center"/>
        </w:tcPr>
        <w:p w:rsidR="00000000" w:rsidDel="00000000" w:rsidP="00000000" w:rsidRDefault="00000000" w:rsidRPr="00000000" w14:paraId="0000003F">
          <w:pPr>
            <w:spacing w:after="0" w:before="0" w:line="240" w:lineRule="auto"/>
            <w:ind w:left="0" w:firstLine="0"/>
            <w:jc w:val="center"/>
            <w:rPr>
              <w:b w:val="1"/>
              <w:bCs w:val="1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shd w:fill="auto" w:val="clear"/>
          <w:tcMar>
            <w:top w:w="0.0" w:type="dxa"/>
            <w:left w:w="108.0" w:type="dxa"/>
            <w:bottom w:w="0.0" w:type="dxa"/>
            <w:right w:w="108.0" w:type="dxa"/>
          </w:tcMar>
          <w:vAlign w:val="center"/>
        </w:tcPr>
        <w:p w:rsidR="00000000" w:rsidDel="00000000" w:rsidP="00000000" w:rsidRDefault="00000000" w:rsidRPr="00000000" w14:paraId="00000040">
          <w:pPr>
            <w:jc w:val="center"/>
            <w:rPr>
              <w:sz w:val="24"/>
              <w:szCs w:val="24"/>
            </w:rPr>
          </w:pPr>
          <w:r w:rsidDel="00000000" w:rsidR="00000000" w:rsidRPr="00000000">
            <w:rPr>
              <w:b w:val="1"/>
              <w:bCs w:val="1"/>
              <w:sz w:val="24"/>
              <w:szCs w:val="24"/>
              <w:rtl w:val="0"/>
            </w:rPr>
            <w:t xml:space="preserve">Código:</w:t>
          </w:r>
          <w:r w:rsidDel="00000000" w:rsidR="00000000" w:rsidRPr="00000000">
            <w:rPr>
              <w:rtl w:val="0"/>
            </w:rPr>
          </w:r>
        </w:p>
      </w:tc>
      <w:tc>
        <w:tcPr>
          <w:gridSpan w:val="2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shd w:fill="auto" w:val="clear"/>
          <w:tcMar>
            <w:top w:w="0.0" w:type="dxa"/>
            <w:left w:w="108.0" w:type="dxa"/>
            <w:bottom w:w="0.0" w:type="dxa"/>
            <w:right w:w="108.0" w:type="dxa"/>
          </w:tcMar>
          <w:vAlign w:val="center"/>
        </w:tcPr>
        <w:p w:rsidR="00000000" w:rsidDel="00000000" w:rsidP="00000000" w:rsidRDefault="00000000" w:rsidRPr="00000000" w14:paraId="00000041">
          <w:pPr>
            <w:jc w:val="center"/>
            <w:rPr>
              <w:sz w:val="24"/>
              <w:szCs w:val="24"/>
            </w:rPr>
          </w:pPr>
          <w:r w:rsidDel="00000000" w:rsidR="00000000" w:rsidRPr="00000000">
            <w:rPr>
              <w:sz w:val="24"/>
              <w:szCs w:val="24"/>
              <w:rtl w:val="0"/>
            </w:rPr>
            <w:t xml:space="preserve">AQP-007 AX 01</w:t>
          </w:r>
        </w:p>
      </w:tc>
    </w:tr>
    <w:tr>
      <w:trPr>
        <w:cantSplit w:val="0"/>
        <w:trHeight w:val="378" w:hRule="atLeast"/>
        <w:tblHeader w:val="0"/>
      </w:trPr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08.0" w:type="dxa"/>
            <w:bottom w:w="0.0" w:type="dxa"/>
            <w:right w:w="108.0" w:type="dxa"/>
          </w:tcMar>
          <w:vAlign w:val="center"/>
        </w:tcPr>
        <w:p w:rsidR="00000000" w:rsidDel="00000000" w:rsidP="00000000" w:rsidRDefault="00000000" w:rsidRPr="00000000" w14:paraId="00000043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shd w:fill="auto" w:val="clear"/>
          <w:tcMar>
            <w:top w:w="0.0" w:type="dxa"/>
            <w:left w:w="108.0" w:type="dxa"/>
            <w:bottom w:w="0.0" w:type="dxa"/>
            <w:right w:w="108.0" w:type="dxa"/>
          </w:tcMar>
          <w:vAlign w:val="center"/>
        </w:tcPr>
        <w:p w:rsidR="00000000" w:rsidDel="00000000" w:rsidP="00000000" w:rsidRDefault="00000000" w:rsidRPr="00000000" w14:paraId="0000004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2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shd w:fill="auto" w:val="clear"/>
          <w:tcMar>
            <w:top w:w="0.0" w:type="dxa"/>
            <w:left w:w="108.0" w:type="dxa"/>
            <w:bottom w:w="0.0" w:type="dxa"/>
            <w:right w:w="108.0" w:type="dxa"/>
          </w:tcMar>
          <w:vAlign w:val="center"/>
        </w:tcPr>
        <w:p w:rsidR="00000000" w:rsidDel="00000000" w:rsidP="00000000" w:rsidRDefault="00000000" w:rsidRPr="00000000" w14:paraId="00000045">
          <w:pPr>
            <w:jc w:val="center"/>
            <w:rPr>
              <w:sz w:val="24"/>
              <w:szCs w:val="24"/>
            </w:rPr>
          </w:pPr>
          <w:r w:rsidDel="00000000" w:rsidR="00000000" w:rsidRPr="00000000">
            <w:rPr>
              <w:b w:val="1"/>
              <w:bCs w:val="1"/>
              <w:sz w:val="24"/>
              <w:szCs w:val="24"/>
              <w:rtl w:val="0"/>
            </w:rPr>
            <w:t xml:space="preserve">Página: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shd w:fill="auto" w:val="clear"/>
          <w:tcMar>
            <w:top w:w="0.0" w:type="dxa"/>
            <w:left w:w="108.0" w:type="dxa"/>
            <w:bottom w:w="0.0" w:type="dxa"/>
            <w:right w:w="108.0" w:type="dxa"/>
          </w:tcMar>
          <w:vAlign w:val="center"/>
        </w:tcPr>
        <w:p w:rsidR="00000000" w:rsidDel="00000000" w:rsidP="00000000" w:rsidRDefault="00000000" w:rsidRPr="00000000" w14:paraId="00000047">
          <w:pPr>
            <w:jc w:val="center"/>
            <w:rPr>
              <w:sz w:val="24"/>
              <w:szCs w:val="24"/>
            </w:rPr>
          </w:pPr>
          <w:r w:rsidDel="00000000" w:rsidR="00000000" w:rsidRPr="00000000">
            <w:rPr>
              <w:sz w:val="24"/>
              <w:szCs w:val="24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sz w:val="24"/>
              <w:szCs w:val="24"/>
              <w:rtl w:val="0"/>
            </w:rPr>
            <w:t xml:space="preserve"> de </w:t>
          </w:r>
          <w:r w:rsidDel="00000000" w:rsidR="00000000" w:rsidRPr="00000000">
            <w:rPr>
              <w:sz w:val="24"/>
              <w:szCs w:val="24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UY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apple-converted-space" w:customStyle="1">
    <w:name w:val="apple-converted-space"/>
    <w:basedOn w:val="Fuentedeprrafopredeter"/>
    <w:rsid w:val="00550A6B"/>
  </w:style>
  <w:style w:type="table" w:styleId="Tablaconcuadrcula">
    <w:name w:val="Table Grid"/>
    <w:basedOn w:val="Tablanormal"/>
    <w:uiPriority w:val="39"/>
    <w:rsid w:val="00A205BA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7B08B9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7B08B9"/>
    <w:rPr>
      <w:rFonts w:ascii="Tahoma" w:cs="Tahoma" w:hAnsi="Tahoma"/>
      <w:sz w:val="16"/>
      <w:szCs w:val="16"/>
    </w:rPr>
  </w:style>
  <w:style w:type="character" w:styleId="Ttulo1Car" w:customStyle="1">
    <w:name w:val="Título 1 Car"/>
    <w:basedOn w:val="Fuentedeprrafopredeter"/>
    <w:link w:val="Ttulo1"/>
    <w:uiPriority w:val="9"/>
    <w:rsid w:val="008A4067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es-VE"/>
    </w:rPr>
  </w:style>
  <w:style w:type="character" w:styleId="prezi-description" w:customStyle="1">
    <w:name w:val="prezi-description"/>
    <w:basedOn w:val="Fuentedeprrafopredeter"/>
    <w:rsid w:val="008A4067"/>
  </w:style>
  <w:style w:type="character" w:styleId="Hipervnculo">
    <w:name w:val="Hyperlink"/>
    <w:basedOn w:val="Fuentedeprrafopredeter"/>
    <w:uiPriority w:val="99"/>
    <w:unhideWhenUsed w:val="1"/>
    <w:rsid w:val="00533FC1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 w:val="1"/>
    <w:rsid w:val="007C658C"/>
    <w:pPr>
      <w:tabs>
        <w:tab w:val="center" w:pos="4513"/>
        <w:tab w:val="right" w:pos="9026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C658C"/>
  </w:style>
  <w:style w:type="paragraph" w:styleId="Piedepgina">
    <w:name w:val="footer"/>
    <w:basedOn w:val="Normal"/>
    <w:link w:val="PiedepginaCar"/>
    <w:uiPriority w:val="99"/>
    <w:unhideWhenUsed w:val="1"/>
    <w:rsid w:val="007C658C"/>
    <w:pPr>
      <w:tabs>
        <w:tab w:val="center" w:pos="4513"/>
        <w:tab w:val="right" w:pos="9026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7C658C"/>
  </w:style>
  <w:style w:type="paragraph" w:styleId="Prrafodelista">
    <w:name w:val="List Paragraph"/>
    <w:basedOn w:val="Normal"/>
    <w:uiPriority w:val="34"/>
    <w:qFormat w:val="1"/>
    <w:rsid w:val="007C658C"/>
    <w:pPr>
      <w:ind w:left="720"/>
      <w:contextualSpacing w:val="1"/>
    </w:pPr>
  </w:style>
  <w:style w:type="table" w:styleId="TableGridLight1" w:customStyle="1">
    <w:name w:val="Table Grid Light1"/>
    <w:basedOn w:val="Tablanormal"/>
    <w:uiPriority w:val="40"/>
    <w:rsid w:val="00CF7F09"/>
    <w:pPr>
      <w:spacing w:after="0" w:line="240" w:lineRule="auto"/>
    </w:pPr>
    <w:rPr>
      <w:lang w:val="en-GB"/>
    </w:rPr>
    <w:tblPr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</w:style>
  <w:style w:type="paragraph" w:styleId="Textoindependiente">
    <w:name w:val="Body Text"/>
    <w:basedOn w:val="Normal"/>
    <w:link w:val="TextoindependienteCar"/>
    <w:uiPriority w:val="99"/>
    <w:rsid w:val="007E4322"/>
    <w:pPr>
      <w:suppressAutoHyphens w:val="1"/>
      <w:spacing w:after="0" w:line="240" w:lineRule="auto"/>
      <w:jc w:val="both"/>
    </w:pPr>
    <w:rPr>
      <w:rFonts w:ascii="Times New Roman" w:cs="Times New Roman" w:eastAsia="Times New Roman" w:hAnsi="Times New Roman"/>
      <w:sz w:val="20"/>
      <w:szCs w:val="20"/>
      <w:lang w:eastAsia="ar-SA" w:val="es-ES"/>
    </w:rPr>
  </w:style>
  <w:style w:type="character" w:styleId="TextoindependienteCar" w:customStyle="1">
    <w:name w:val="Texto independiente Car"/>
    <w:basedOn w:val="Fuentedeprrafopredeter"/>
    <w:link w:val="Textoindependiente"/>
    <w:uiPriority w:val="99"/>
    <w:rsid w:val="007E4322"/>
    <w:rPr>
      <w:rFonts w:ascii="Times New Roman" w:cs="Times New Roman" w:eastAsia="Times New Roman" w:hAnsi="Times New Roman"/>
      <w:sz w:val="20"/>
      <w:szCs w:val="20"/>
      <w:lang w:eastAsia="ar-SA" w:val="es-ES"/>
    </w:rPr>
  </w:style>
  <w:style w:type="table" w:styleId="a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2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Pr>
      <w:sz w:val="16"/>
      <w:szCs w:val="16"/>
    </w:rPr>
  </w:style>
  <w:style w:type="table" w:styleId="a3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1"/>
    <w:pPr>
      <w:spacing w:after="0" w:line="240" w:lineRule="auto"/>
    </w:pPr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5" w:customStyle="1">
    <w:basedOn w:val="TableNormal1"/>
    <w:pPr>
      <w:spacing w:after="0" w:line="240" w:lineRule="auto"/>
    </w:pPr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6" w:customStyle="1">
    <w:basedOn w:val="TableNormal1"/>
    <w:pPr>
      <w:spacing w:after="0" w:line="240" w:lineRule="auto"/>
    </w:pPr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paragraph" w:styleId="Sangradetextonormal">
    <w:name w:val="Body Text Indent"/>
    <w:basedOn w:val="Normal"/>
    <w:link w:val="SangradetextonormalCar"/>
    <w:uiPriority w:val="99"/>
    <w:unhideWhenUsed w:val="1"/>
    <w:rsid w:val="005A4844"/>
    <w:pPr>
      <w:spacing w:after="120"/>
      <w:ind w:left="283"/>
    </w:pPr>
  </w:style>
  <w:style w:type="character" w:styleId="SangradetextonormalCar" w:customStyle="1">
    <w:name w:val="Sangría de texto normal Car"/>
    <w:basedOn w:val="Fuentedeprrafopredeter"/>
    <w:link w:val="Sangradetextonormal"/>
    <w:uiPriority w:val="99"/>
    <w:rsid w:val="005A4844"/>
  </w:style>
  <w:style w:type="paragraph" w:styleId="Prrafodelista1" w:customStyle="1">
    <w:name w:val="Párrafo de lista1"/>
    <w:basedOn w:val="Normal"/>
    <w:rsid w:val="00332541"/>
    <w:pPr>
      <w:suppressAutoHyphens w:val="1"/>
      <w:spacing w:line="240" w:lineRule="auto"/>
      <w:ind w:left="720"/>
      <w:contextualSpacing w:val="1"/>
    </w:pPr>
    <w:rPr>
      <w:rFonts w:ascii="Liberation Serif" w:cs="Lucida Sans" w:eastAsia="SimSun" w:hAnsi="Liberation Serif"/>
      <w:kern w:val="2"/>
      <w:sz w:val="24"/>
      <w:szCs w:val="24"/>
      <w:lang w:bidi="hi-IN" w:eastAsia="zh-CN"/>
    </w:rPr>
  </w:style>
  <w:style w:type="table" w:styleId="a7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8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9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a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paragraph" w:styleId="Revisin">
    <w:name w:val="Revision"/>
    <w:hidden w:val="1"/>
    <w:uiPriority w:val="99"/>
    <w:semiHidden w:val="1"/>
    <w:rsid w:val="003805FA"/>
    <w:pPr>
      <w:spacing w:after="0" w:line="240" w:lineRule="auto"/>
    </w:pPr>
  </w:style>
  <w:style w:type="table" w:styleId="ab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c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d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e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amspecgroup.com/contact/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ellMT-regular.ttf"/><Relationship Id="rId2" Type="http://schemas.openxmlformats.org/officeDocument/2006/relationships/font" Target="fonts/BellMT-bold.ttf"/><Relationship Id="rId3" Type="http://schemas.openxmlformats.org/officeDocument/2006/relationships/font" Target="fonts/BellMT-italic.ttf"/><Relationship Id="rId4" Type="http://schemas.openxmlformats.org/officeDocument/2006/relationships/font" Target="fonts/BellM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uI4XVsGxmsrBK2JBQBPT6qy+vA==">CgMxLjAyDmguajd0ZTk1N2VqcDh0Mg5oLjd0ZTl1ODNweGVmaTIOaC43amEyZ3h1YjB0MHEyDmgudmh6NXQ1dHZ2cGM2Mg5oLmJ0bTFtZXdtMTFtaDIOaC50MjdnaHdyOWE5MW8yDmguNzlxMGY4YXFwb2dsOAByITFRclRjNTE4eV9GM2NmNWxXYUpaV3Y2UmdvMWIwR3E3MA==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2024-09-18T00:27:00Z</dcterms:created>
  <dc:creator>Hernán Romero</dc:creator>
</cp:coreProperties>
</file>